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3FE747">
      <w:pPr>
        <w:spacing w:line="600" w:lineRule="exact"/>
        <w:jc w:val="center"/>
        <w:rPr>
          <w:rFonts w:ascii="Times New Roman" w:hAnsi="Times New Roman" w:cs="Times New Roman"/>
        </w:rPr>
      </w:pPr>
    </w:p>
    <w:p w14:paraId="307A7CFA">
      <w:pPr>
        <w:spacing w:line="600" w:lineRule="exact"/>
        <w:jc w:val="center"/>
        <w:rPr>
          <w:rFonts w:ascii="Times New Roman" w:hAnsi="Times New Roman" w:cs="Times New Roman"/>
        </w:rPr>
      </w:pPr>
    </w:p>
    <w:p w14:paraId="73D6EA27">
      <w:pPr>
        <w:spacing w:line="600" w:lineRule="exact"/>
        <w:jc w:val="center"/>
        <w:rPr>
          <w:rFonts w:ascii="Times New Roman" w:hAnsi="Times New Roman" w:cs="Times New Roman"/>
        </w:rPr>
      </w:pPr>
    </w:p>
    <w:p w14:paraId="70864BA3">
      <w:pPr>
        <w:spacing w:line="600" w:lineRule="exact"/>
        <w:jc w:val="center"/>
        <w:rPr>
          <w:rFonts w:ascii="Times New Roman" w:hAnsi="Times New Roman" w:cs="Times New Roman"/>
        </w:rPr>
      </w:pPr>
    </w:p>
    <w:p w14:paraId="729E7136">
      <w:pPr>
        <w:spacing w:line="600" w:lineRule="exact"/>
        <w:jc w:val="center"/>
        <w:rPr>
          <w:rFonts w:ascii="Times New Roman" w:hAnsi="Times New Roman" w:cs="Times New Roman"/>
          <w:color w:val="auto"/>
        </w:rPr>
      </w:pPr>
    </w:p>
    <w:p w14:paraId="0E5B6E58">
      <w:pPr>
        <w:spacing w:line="600" w:lineRule="exact"/>
        <w:jc w:val="center"/>
        <w:rPr>
          <w:rFonts w:ascii="Times New Roman" w:hAnsi="Times New Roman" w:cs="Times New Roman"/>
          <w:color w:val="auto"/>
        </w:rPr>
      </w:pPr>
    </w:p>
    <w:p w14:paraId="2A85C845">
      <w:pPr>
        <w:spacing w:line="600" w:lineRule="exact"/>
        <w:jc w:val="center"/>
        <w:rPr>
          <w:rFonts w:ascii="Times New Roman" w:hAnsi="Times New Roman" w:cs="Times New Roman"/>
          <w:color w:val="auto"/>
        </w:rPr>
      </w:pPr>
      <w:r>
        <w:rPr>
          <w:rFonts w:hint="eastAsia" w:ascii="Times New Roman" w:hAnsi="Times New Roman" w:cs="Times New Roman"/>
          <w:b/>
          <w:bCs/>
          <w:color w:val="auto"/>
        </w:rPr>
        <w:t>Why People Buy Labubu: The</w:t>
      </w:r>
      <w:r>
        <w:rPr>
          <w:rFonts w:hint="eastAsia" w:ascii="Times New Roman" w:hAnsi="Times New Roman" w:cs="Times New Roman"/>
          <w:b/>
          <w:bCs/>
          <w:color w:val="auto"/>
          <w:lang w:val="en-US" w:eastAsia="zh-CN"/>
        </w:rPr>
        <w:t xml:space="preserve"> </w:t>
      </w:r>
      <w:r>
        <w:rPr>
          <w:rFonts w:hint="eastAsia" w:ascii="Times New Roman" w:hAnsi="Times New Roman" w:cs="Times New Roman"/>
          <w:b/>
          <w:bCs/>
          <w:color w:val="auto"/>
        </w:rPr>
        <w:t>Development of New Luxury and lts Relationship with Social Media in Modern China</w:t>
      </w:r>
    </w:p>
    <w:p w14:paraId="34DB97E7">
      <w:pPr>
        <w:spacing w:line="600" w:lineRule="exact"/>
        <w:jc w:val="center"/>
        <w:rPr>
          <w:rFonts w:hint="default" w:ascii="Times New Roman" w:hAnsi="Times New Roman" w:cs="Times New Roman"/>
          <w:color w:val="auto"/>
          <w:lang w:val="en-US"/>
        </w:rPr>
      </w:pPr>
      <w:r>
        <w:rPr>
          <w:rFonts w:hint="default" w:ascii="Times New Roman" w:hAnsi="Times New Roman" w:cs="Times New Roman"/>
          <w:color w:val="auto"/>
          <w:lang w:val="en-US"/>
        </w:rPr>
        <w:t>Liu Shubing</w:t>
      </w:r>
    </w:p>
    <w:p w14:paraId="0C5DEA26">
      <w:pPr>
        <w:spacing w:line="600" w:lineRule="exact"/>
        <w:jc w:val="center"/>
        <w:rPr>
          <w:rFonts w:ascii="Times New Roman" w:hAnsi="Times New Roman" w:cs="Times New Roman"/>
          <w:color w:val="auto"/>
        </w:rPr>
      </w:pPr>
      <w:r>
        <w:rPr>
          <w:rFonts w:ascii="Times New Roman" w:hAnsi="Times New Roman" w:cs="Times New Roman"/>
          <w:color w:val="auto"/>
        </w:rPr>
        <w:t>Dalton Academy, PKUHS</w:t>
      </w:r>
    </w:p>
    <w:p w14:paraId="47EA3C62">
      <w:pPr>
        <w:spacing w:line="600" w:lineRule="exact"/>
        <w:jc w:val="center"/>
        <w:rPr>
          <w:rFonts w:ascii="Times New Roman" w:hAnsi="Times New Roman" w:cs="Times New Roman"/>
          <w:color w:val="auto"/>
        </w:rPr>
      </w:pPr>
      <w:r>
        <w:rPr>
          <w:rFonts w:ascii="Times New Roman" w:hAnsi="Times New Roman" w:cs="Times New Roman"/>
          <w:color w:val="auto"/>
        </w:rPr>
        <w:t>Independent Research Program</w:t>
      </w:r>
    </w:p>
    <w:p w14:paraId="307A84D7">
      <w:pPr>
        <w:spacing w:line="480" w:lineRule="auto"/>
        <w:jc w:val="center"/>
        <w:rPr>
          <w:rFonts w:hint="default" w:ascii="Times New Roman" w:hAnsi="Times New Roman" w:cs="Times New Roman"/>
          <w:color w:val="auto"/>
          <w:lang w:val="en-US"/>
        </w:rPr>
      </w:pPr>
      <w:r>
        <w:rPr>
          <w:rFonts w:ascii="Times New Roman" w:hAnsi="Times New Roman" w:cs="Times New Roman"/>
          <w:color w:val="auto"/>
        </w:rPr>
        <w:t>Supervisor:</w:t>
      </w:r>
      <w:r>
        <w:rPr>
          <w:rFonts w:hint="default" w:ascii="Times New Roman" w:hAnsi="Times New Roman" w:cs="Times New Roman"/>
          <w:color w:val="auto"/>
          <w:lang w:val="en-US"/>
        </w:rPr>
        <w:t xml:space="preserve"> James Paul Evans</w:t>
      </w:r>
    </w:p>
    <w:p w14:paraId="5F19BC44">
      <w:pPr>
        <w:spacing w:line="600" w:lineRule="exact"/>
        <w:jc w:val="center"/>
        <w:rPr>
          <w:rFonts w:hint="default" w:ascii="Times New Roman" w:hAnsi="Times New Roman" w:cs="Times New Roman"/>
          <w:color w:val="auto"/>
          <w:lang w:val="en-US"/>
        </w:rPr>
      </w:pPr>
      <w:r>
        <w:rPr>
          <w:rFonts w:hint="default" w:ascii="Times New Roman" w:hAnsi="Times New Roman" w:cs="Times New Roman"/>
          <w:color w:val="auto"/>
          <w:lang w:val="en-US"/>
        </w:rPr>
        <w:t>2025.12.15</w:t>
      </w:r>
    </w:p>
    <w:p w14:paraId="75A21EE2">
      <w:pPr>
        <w:spacing w:line="600" w:lineRule="exact"/>
        <w:jc w:val="center"/>
        <w:rPr>
          <w:rFonts w:ascii="Times New Roman" w:hAnsi="Times New Roman" w:cs="Times New Roman"/>
          <w:color w:val="auto"/>
        </w:rPr>
      </w:pPr>
    </w:p>
    <w:p w14:paraId="647AE17A">
      <w:pPr>
        <w:widowControl/>
        <w:jc w:val="left"/>
        <w:rPr>
          <w:rFonts w:hint="default" w:ascii="Times New Roman Bold" w:hAnsi="Times New Roman Bold" w:cs="Times New Roman Bold"/>
          <w:b/>
          <w:bCs/>
          <w:color w:val="auto"/>
        </w:rPr>
      </w:pPr>
    </w:p>
    <w:p w14:paraId="117F7418">
      <w:pPr>
        <w:widowControl/>
        <w:jc w:val="left"/>
        <w:rPr>
          <w:rFonts w:hint="default" w:ascii="Times New Roman Bold" w:hAnsi="Times New Roman Bold" w:cs="Times New Roman Bold"/>
          <w:b/>
          <w:bCs/>
          <w:color w:val="auto"/>
        </w:rPr>
      </w:pPr>
    </w:p>
    <w:p w14:paraId="35AA24C5">
      <w:pPr>
        <w:widowControl/>
        <w:jc w:val="left"/>
        <w:rPr>
          <w:rFonts w:hint="default" w:ascii="Times New Roman Bold" w:hAnsi="Times New Roman Bold" w:cs="Times New Roman Bold"/>
          <w:b/>
          <w:bCs/>
          <w:color w:val="auto"/>
        </w:rPr>
      </w:pPr>
    </w:p>
    <w:p w14:paraId="49ADA345">
      <w:pPr>
        <w:widowControl/>
        <w:jc w:val="left"/>
        <w:rPr>
          <w:rFonts w:hint="default" w:ascii="Times New Roman Bold" w:hAnsi="Times New Roman Bold" w:cs="Times New Roman Bold"/>
          <w:b/>
          <w:bCs/>
          <w:color w:val="auto"/>
        </w:rPr>
      </w:pPr>
    </w:p>
    <w:p w14:paraId="69957BB6">
      <w:pPr>
        <w:widowControl/>
        <w:jc w:val="left"/>
        <w:rPr>
          <w:rFonts w:hint="default" w:ascii="Times New Roman Bold" w:hAnsi="Times New Roman Bold" w:cs="Times New Roman Bold"/>
          <w:b/>
          <w:bCs/>
          <w:color w:val="auto"/>
        </w:rPr>
      </w:pPr>
    </w:p>
    <w:p w14:paraId="3B0BFC2C">
      <w:pPr>
        <w:widowControl/>
        <w:jc w:val="left"/>
        <w:rPr>
          <w:rFonts w:hint="default" w:ascii="Times New Roman Bold" w:hAnsi="Times New Roman Bold" w:cs="Times New Roman Bold"/>
          <w:b/>
          <w:bCs/>
          <w:color w:val="auto"/>
        </w:rPr>
      </w:pPr>
    </w:p>
    <w:p w14:paraId="740FEE32">
      <w:pPr>
        <w:widowControl/>
        <w:jc w:val="left"/>
        <w:rPr>
          <w:rFonts w:hint="default" w:ascii="Times New Roman Bold" w:hAnsi="Times New Roman Bold" w:cs="Times New Roman Bold"/>
          <w:b/>
          <w:bCs/>
          <w:color w:val="auto"/>
        </w:rPr>
      </w:pPr>
    </w:p>
    <w:p w14:paraId="603386B7">
      <w:pPr>
        <w:widowControl/>
        <w:jc w:val="left"/>
        <w:rPr>
          <w:rFonts w:hint="default" w:ascii="Times New Roman Bold" w:hAnsi="Times New Roman Bold" w:cs="Times New Roman Bold"/>
          <w:b/>
          <w:bCs/>
          <w:color w:val="auto"/>
        </w:rPr>
      </w:pPr>
    </w:p>
    <w:p w14:paraId="6B9D2964">
      <w:pPr>
        <w:widowControl/>
        <w:jc w:val="left"/>
        <w:rPr>
          <w:rFonts w:hint="default" w:ascii="Times New Roman Bold" w:hAnsi="Times New Roman Bold" w:cs="Times New Roman Bold"/>
          <w:b/>
          <w:bCs/>
          <w:color w:val="auto"/>
        </w:rPr>
      </w:pPr>
    </w:p>
    <w:p w14:paraId="4B615F12">
      <w:pPr>
        <w:widowControl/>
        <w:jc w:val="left"/>
        <w:rPr>
          <w:rFonts w:hint="default" w:ascii="Times New Roman Bold" w:hAnsi="Times New Roman Bold" w:cs="Times New Roman Bold"/>
          <w:b/>
          <w:bCs/>
          <w:color w:val="auto"/>
        </w:rPr>
      </w:pPr>
    </w:p>
    <w:p w14:paraId="09D4F6B5">
      <w:pPr>
        <w:widowControl/>
        <w:jc w:val="left"/>
        <w:rPr>
          <w:rFonts w:hint="default" w:ascii="Times New Roman Bold" w:hAnsi="Times New Roman Bold" w:cs="Times New Roman Bold"/>
          <w:b/>
          <w:bCs/>
          <w:color w:val="auto"/>
        </w:rPr>
      </w:pPr>
    </w:p>
    <w:p w14:paraId="295DB24C">
      <w:pPr>
        <w:widowControl/>
        <w:jc w:val="left"/>
        <w:rPr>
          <w:rFonts w:hint="default" w:ascii="Times New Roman Bold" w:hAnsi="Times New Roman Bold" w:cs="Times New Roman Bold"/>
          <w:b/>
          <w:bCs/>
          <w:color w:val="auto"/>
        </w:rPr>
      </w:pPr>
    </w:p>
    <w:p w14:paraId="7944C13F">
      <w:pPr>
        <w:widowControl/>
        <w:jc w:val="center"/>
        <w:rPr>
          <w:rFonts w:hint="default" w:ascii="Times New Roman Bold" w:hAnsi="Times New Roman Bold" w:cs="Times New Roman Bold"/>
          <w:b/>
          <w:bCs/>
          <w:color w:val="auto"/>
          <w:lang w:val="en-US"/>
        </w:rPr>
      </w:pPr>
      <w:bookmarkStart w:id="0" w:name="_GoBack"/>
      <w:r>
        <w:rPr>
          <w:rFonts w:hint="default" w:ascii="Times New Roman Bold" w:hAnsi="Times New Roman Bold" w:cs="Times New Roman Bold"/>
          <w:b/>
          <w:bCs/>
          <w:color w:val="auto"/>
          <w:lang w:val="en-US"/>
        </w:rPr>
        <w:t>Abstract</w:t>
      </w:r>
    </w:p>
    <w:p w14:paraId="03F7143B">
      <w:pPr>
        <w:widowControl/>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In recent years, the rapid rise of Labubu collectibles in China has reflected a broader transformation in youth consumer culture and the development of “New Luxury.” Unlike traditional luxury goods, which derive value primarily from craftsmanship, heritage, and high economic cost, New Luxury products emphasize emotional satisfaction, digital visibility, symbolic meaning, and online community participation. This study investigates why Chinese consumers continue purchasing Labubu products during periods of economic uncertainty and examines how social media platforms transform attention into consumer desire.</w:t>
      </w:r>
    </w:p>
    <w:p w14:paraId="40417E65">
      <w:pPr>
        <w:widowControl/>
        <w:spacing w:line="480" w:lineRule="auto"/>
        <w:jc w:val="left"/>
        <w:rPr>
          <w:rFonts w:hint="default" w:ascii="Times New Roman" w:hAnsi="Times New Roman" w:cs="Times New Roman"/>
          <w:b w:val="0"/>
          <w:bCs w:val="0"/>
          <w:color w:val="auto"/>
          <w:lang w:val="en-US"/>
        </w:rPr>
      </w:pPr>
    </w:p>
    <w:p w14:paraId="14FCFB60">
      <w:pPr>
        <w:widowControl/>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Using a mixed-methods approach, this research combines quantitative survey data, qualitative interviews, and marketing analysis. Survey responses from 128 participants reveal that emotional comfort, fear of missing out (FOMO), and social belonging significantly influence repeated purchases. Interview findings further demonstrate that consumers view Labubu not only as a collectible product but also as a form of identity expression and emotional companionship. Additionally, analysis of Pop Mart’s marketing strategies suggests that scarcity mechanisms and social media visibility intensify emotional attachment and encourage continuous participation in online communities.</w:t>
      </w:r>
    </w:p>
    <w:p w14:paraId="74F32C77">
      <w:pPr>
        <w:widowControl/>
        <w:spacing w:line="480" w:lineRule="auto"/>
        <w:jc w:val="left"/>
        <w:rPr>
          <w:rFonts w:hint="default" w:ascii="Times New Roman" w:hAnsi="Times New Roman" w:cs="Times New Roman"/>
          <w:b w:val="0"/>
          <w:bCs w:val="0"/>
          <w:color w:val="auto"/>
          <w:lang w:val="en-US"/>
        </w:rPr>
      </w:pPr>
    </w:p>
    <w:p w14:paraId="47038AF7">
      <w:pPr>
        <w:widowControl/>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The findings challenge traditional Western-centered understandings of luxury consumption by proposing a culturally specific framework rooted in China’s digital ecosystem. This research contributes to contemporary discussions of attention economy, emotional consumption, and youth identity formation while also offering insight into how brands create resilient and community-driven consumer cultures in the digital age.</w:t>
      </w:r>
    </w:p>
    <w:p w14:paraId="1BE63B7D">
      <w:pPr>
        <w:widowControl/>
        <w:spacing w:line="480" w:lineRule="auto"/>
        <w:jc w:val="left"/>
        <w:rPr>
          <w:rFonts w:hint="default" w:ascii="Times New Roman" w:hAnsi="Times New Roman" w:cs="Times New Roman"/>
          <w:b w:val="0"/>
          <w:bCs w:val="0"/>
          <w:color w:val="auto"/>
          <w:lang w:val="en-US"/>
        </w:rPr>
      </w:pPr>
    </w:p>
    <w:p w14:paraId="06FD03D9">
      <w:pPr>
        <w:widowControl/>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Keywords: New Luxury, Labubu, social media marketing, attention economy, emotional consumption, youth consumer culture</w:t>
      </w:r>
    </w:p>
    <w:p w14:paraId="52AA5F65">
      <w:pPr>
        <w:spacing w:line="480" w:lineRule="auto"/>
        <w:jc w:val="center"/>
        <w:rPr>
          <w:rFonts w:hint="default" w:ascii="Times New Roman" w:hAnsi="Times New Roman" w:cs="Times New Roman"/>
          <w:b w:val="0"/>
          <w:bCs w:val="0"/>
          <w:color w:val="auto"/>
        </w:rPr>
      </w:pPr>
    </w:p>
    <w:p w14:paraId="682C53CC">
      <w:pPr>
        <w:spacing w:line="480" w:lineRule="auto"/>
        <w:jc w:val="both"/>
        <w:rPr>
          <w:rFonts w:hint="default" w:ascii="Times New Roman Bold" w:hAnsi="Times New Roman Bold" w:cs="Times New Roman Bold"/>
          <w:b/>
          <w:bCs/>
          <w:color w:val="auto"/>
        </w:rPr>
      </w:pPr>
    </w:p>
    <w:p w14:paraId="566427C2">
      <w:pPr>
        <w:spacing w:line="480" w:lineRule="auto"/>
        <w:jc w:val="both"/>
        <w:rPr>
          <w:rFonts w:hint="default" w:ascii="Times New Roman Bold" w:hAnsi="Times New Roman Bold" w:cs="Times New Roman Bold"/>
          <w:b/>
          <w:bCs/>
          <w:color w:val="auto"/>
        </w:rPr>
      </w:pPr>
    </w:p>
    <w:p w14:paraId="6C8090BB">
      <w:pPr>
        <w:spacing w:line="480" w:lineRule="auto"/>
        <w:jc w:val="both"/>
        <w:rPr>
          <w:rFonts w:hint="default" w:ascii="Times New Roman Bold" w:hAnsi="Times New Roman Bold" w:cs="Times New Roman Bold"/>
          <w:b/>
          <w:bCs/>
          <w:color w:val="auto"/>
        </w:rPr>
      </w:pPr>
    </w:p>
    <w:p w14:paraId="24F420C5">
      <w:pPr>
        <w:spacing w:line="480" w:lineRule="auto"/>
        <w:jc w:val="center"/>
        <w:rPr>
          <w:rFonts w:hint="eastAsia" w:ascii="Times New Roman" w:hAnsi="Times New Roman" w:cs="Times New Roman"/>
          <w:b w:val="0"/>
          <w:bCs w:val="0"/>
          <w:color w:val="auto"/>
        </w:rPr>
      </w:pPr>
      <w:r>
        <w:rPr>
          <w:rFonts w:hint="default" w:ascii="Times New Roman Bold" w:hAnsi="Times New Roman Bold" w:cs="Times New Roman Bold"/>
          <w:b/>
          <w:bCs/>
          <w:color w:val="auto"/>
        </w:rPr>
        <w:t>Introduction</w:t>
      </w:r>
    </w:p>
    <w:p w14:paraId="28AECF59">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Over the last few years, an interesting shift has emerged within China’s consumer market: even during periods of economic uncertainty and slowing global growth, sales of “New Luxury” products such as Labubu collectibles and reinvented heritage brands like Lao Pu Gold have continued to rise. This trend appears contradictory to traditional economic expectations, which typically predict that luxury consumption decreases when consumer confidence weakens. The persistence of strong demand for products such as Labubu therefore raises important questions about how contemporary Chinese consumers define value, identity, and emotional satisfaction.</w:t>
      </w:r>
    </w:p>
    <w:p w14:paraId="638B0C07">
      <w:pPr>
        <w:spacing w:line="480" w:lineRule="auto"/>
        <w:jc w:val="left"/>
        <w:rPr>
          <w:rFonts w:hint="eastAsia" w:ascii="Times New Roman" w:hAnsi="Times New Roman" w:cs="Times New Roman"/>
          <w:b w:val="0"/>
          <w:bCs w:val="0"/>
          <w:color w:val="auto"/>
        </w:rPr>
      </w:pPr>
    </w:p>
    <w:p w14:paraId="7AB20269">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Unlike traditional Western luxury, which derives value from craftsmanship, heritage, exclusivity, and high economic cost, New Luxury in China is increasingly built upon emotional resonance, digital participation, and socially constructed scarcity (Creevey et al., 2022). Labubu, one of the most influential examples of this phenomenon, has become highly desirable not because of its material functionality but because of the symbolic meaning attached to it through online communities and social media rituals. Unboxing videos, collection displays, resale discussions, and limited-edition releases transform Labubu from a simple toy into a cultural symbol representing identity, belonging, and emotional comfort.</w:t>
      </w:r>
    </w:p>
    <w:p w14:paraId="009E2433">
      <w:pPr>
        <w:spacing w:line="480" w:lineRule="auto"/>
        <w:jc w:val="left"/>
        <w:rPr>
          <w:rFonts w:hint="eastAsia" w:ascii="Times New Roman" w:hAnsi="Times New Roman" w:cs="Times New Roman"/>
          <w:b w:val="0"/>
          <w:bCs w:val="0"/>
          <w:color w:val="auto"/>
        </w:rPr>
      </w:pPr>
    </w:p>
    <w:p w14:paraId="2E27F5E9">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This transformation reflects a broader shift in contemporary consumer culture. Consumption is no longer only about ownership; rather, it increasingly involves participation in online narratives and emotional communities. Digital platforms such as Xiaohongshu, Weibo, and TikTok play a central role in amplifying these dynamics by continuously circulating aesthetically curated content and encouraging users to publicly display consumption behaviors (Dwivedi et al., 2015). In this sense, social media platforms do not simply advertise products but actively construct consumer desire.</w:t>
      </w:r>
    </w:p>
    <w:p w14:paraId="0D208166">
      <w:pPr>
        <w:spacing w:line="480" w:lineRule="auto"/>
        <w:jc w:val="left"/>
        <w:rPr>
          <w:rFonts w:hint="eastAsia" w:ascii="Times New Roman" w:hAnsi="Times New Roman" w:cs="Times New Roman"/>
          <w:b w:val="0"/>
          <w:bCs w:val="0"/>
          <w:color w:val="auto"/>
        </w:rPr>
      </w:pPr>
    </w:p>
    <w:p w14:paraId="54146F68">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The phenomenon also reflects the growing influence of the attention economy, in which visibility itself becomes a form of value. Franck (2019) argues that in digital environments, human attention functions as a scarce resource that can be accumulated and converted into economic power. In the context of Labubu, visibility on social media increases desirability, which further encourages purchasing, posting, and community participation. This creates a feedback loop in which attention generates emotional investment and emotional investment generates additional attention.</w:t>
      </w:r>
    </w:p>
    <w:p w14:paraId="6C94E047">
      <w:pPr>
        <w:spacing w:line="480" w:lineRule="auto"/>
        <w:jc w:val="left"/>
        <w:rPr>
          <w:rFonts w:hint="eastAsia" w:ascii="Times New Roman" w:hAnsi="Times New Roman" w:cs="Times New Roman"/>
          <w:b w:val="0"/>
          <w:bCs w:val="0"/>
          <w:color w:val="auto"/>
        </w:rPr>
      </w:pPr>
    </w:p>
    <w:p w14:paraId="1283CC94">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The rise of New Luxury has important cultural and economic implications. It reshapes patterns of identity formation among Chinese youth, encourages emotionally driven consumption, and creates tightly connected online communities centered around symbolic products. Moreover, it demonstrates how digital storytelling and community participation can sustain consumer enthusiasm even during periods of economic instability.</w:t>
      </w:r>
    </w:p>
    <w:p w14:paraId="453CEABF">
      <w:pPr>
        <w:spacing w:line="480" w:lineRule="auto"/>
        <w:jc w:val="left"/>
        <w:rPr>
          <w:rFonts w:hint="eastAsia" w:ascii="Times New Roman" w:hAnsi="Times New Roman" w:cs="Times New Roman"/>
          <w:b w:val="0"/>
          <w:bCs w:val="0"/>
          <w:color w:val="auto"/>
        </w:rPr>
      </w:pPr>
    </w:p>
    <w:p w14:paraId="1BDF99DF">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This study therefore aims to examine why consumers repeatedly purchase Labubu products and how Chinese social media platforms contribute to this process. Specifically, the research focuses on three research questions:</w:t>
      </w:r>
    </w:p>
    <w:p w14:paraId="3D2488A9">
      <w:pPr>
        <w:spacing w:line="480" w:lineRule="auto"/>
        <w:jc w:val="left"/>
        <w:rPr>
          <w:rFonts w:hint="eastAsia" w:ascii="Times New Roman" w:hAnsi="Times New Roman" w:cs="Times New Roman"/>
          <w:b w:val="0"/>
          <w:bCs w:val="0"/>
          <w:color w:val="auto"/>
        </w:rPr>
      </w:pPr>
    </w:p>
    <w:p w14:paraId="2332330F">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How can the concept of New Luxury be defined within modern Chinese consumer culture?</w:t>
      </w:r>
    </w:p>
    <w:p w14:paraId="1FBB8A74">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How do Chinese social media marketing strategies leverage the attention economy to transform attention into consumer desire for Labubu?</w:t>
      </w:r>
    </w:p>
    <w:p w14:paraId="270CC3C2">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What psychological motivations drive consumers to repeatedly purchase Labubu products?</w:t>
      </w:r>
    </w:p>
    <w:p w14:paraId="4C904598">
      <w:pPr>
        <w:spacing w:line="480" w:lineRule="auto"/>
        <w:jc w:val="left"/>
        <w:rPr>
          <w:rFonts w:hint="eastAsia" w:ascii="Times New Roman" w:hAnsi="Times New Roman" w:cs="Times New Roman"/>
          <w:b w:val="0"/>
          <w:bCs w:val="0"/>
          <w:color w:val="auto"/>
        </w:rPr>
      </w:pPr>
    </w:p>
    <w:p w14:paraId="6B5A43BB">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By answering these questions, this research seeks to contribute to existing discussions surrounding luxury consumption, emotional marketing, and youth culture while providing a culturally specific framework for understanding New Luxury in China.</w:t>
      </w:r>
    </w:p>
    <w:p w14:paraId="6DCD3C25">
      <w:pPr>
        <w:spacing w:line="480" w:lineRule="auto"/>
        <w:jc w:val="center"/>
        <w:rPr>
          <w:rFonts w:hint="default" w:ascii="Times New Roman Bold" w:hAnsi="Times New Roman Bold" w:cs="Times New Roman Bold"/>
          <w:b/>
          <w:bCs/>
          <w:color w:val="auto"/>
        </w:rPr>
      </w:pPr>
    </w:p>
    <w:p w14:paraId="673F3286">
      <w:pPr>
        <w:spacing w:line="480" w:lineRule="auto"/>
        <w:jc w:val="center"/>
        <w:rPr>
          <w:rFonts w:hint="default" w:ascii="Times New Roman Bold" w:hAnsi="Times New Roman Bold" w:cs="Times New Roman Bold"/>
          <w:b/>
          <w:bCs/>
          <w:color w:val="auto"/>
        </w:rPr>
      </w:pPr>
    </w:p>
    <w:p w14:paraId="2F1BDE75">
      <w:pPr>
        <w:spacing w:line="480" w:lineRule="auto"/>
        <w:jc w:val="center"/>
        <w:rPr>
          <w:rFonts w:hint="default" w:ascii="Times New Roman Bold" w:hAnsi="Times New Roman Bold" w:cs="Times New Roman Bold"/>
          <w:b/>
          <w:bCs/>
          <w:color w:val="auto"/>
        </w:rPr>
      </w:pPr>
    </w:p>
    <w:p w14:paraId="4FDEA823">
      <w:pPr>
        <w:spacing w:line="480" w:lineRule="auto"/>
        <w:jc w:val="center"/>
        <w:rPr>
          <w:rFonts w:hint="default" w:ascii="Times New Roman Bold" w:hAnsi="Times New Roman Bold" w:cs="Times New Roman Bold"/>
          <w:b/>
          <w:bCs/>
          <w:color w:val="auto"/>
        </w:rPr>
      </w:pPr>
    </w:p>
    <w:p w14:paraId="292B0506">
      <w:pPr>
        <w:spacing w:line="480" w:lineRule="auto"/>
        <w:jc w:val="center"/>
        <w:rPr>
          <w:rFonts w:hint="default" w:ascii="Times New Roman Bold" w:hAnsi="Times New Roman Bold" w:cs="Times New Roman Bold"/>
          <w:b/>
          <w:bCs/>
          <w:color w:val="auto"/>
        </w:rPr>
      </w:pPr>
    </w:p>
    <w:p w14:paraId="0E98887A">
      <w:pPr>
        <w:spacing w:line="480" w:lineRule="auto"/>
        <w:jc w:val="center"/>
        <w:rPr>
          <w:rFonts w:hint="default" w:ascii="Times New Roman Bold" w:hAnsi="Times New Roman Bold" w:cs="Times New Roman Bold"/>
          <w:b/>
          <w:bCs/>
          <w:color w:val="auto"/>
        </w:rPr>
      </w:pPr>
    </w:p>
    <w:p w14:paraId="78E768DC">
      <w:pPr>
        <w:spacing w:line="480" w:lineRule="auto"/>
        <w:jc w:val="center"/>
        <w:rPr>
          <w:rFonts w:hint="default" w:ascii="Times New Roman Bold" w:hAnsi="Times New Roman Bold" w:cs="Times New Roman Bold"/>
          <w:b/>
          <w:bCs/>
          <w:color w:val="auto"/>
        </w:rPr>
      </w:pPr>
      <w:r>
        <w:rPr>
          <w:rFonts w:hint="default" w:ascii="Times New Roman Bold" w:hAnsi="Times New Roman Bold" w:cs="Times New Roman Bold"/>
          <w:b/>
          <w:bCs/>
          <w:color w:val="auto"/>
        </w:rPr>
        <w:t>Literature Review</w:t>
      </w:r>
    </w:p>
    <w:p w14:paraId="7D0F52A1">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Understanding why Labubu has become a representative symbol of New Luxury in China requires an examination of three interconnected areas: the transformation of luxury value, the role of social media in community formation, and the attention economy’s ability to convert visibility into consumer desire. Existing scholarship provides useful theoretical foundations, but it does not fully explain the culturally specific and emotionally driven mechanisms behind Labubu consumption in contemporary China.</w:t>
      </w:r>
    </w:p>
    <w:p w14:paraId="7EF72BAA">
      <w:pPr>
        <w:spacing w:line="480" w:lineRule="auto"/>
        <w:jc w:val="left"/>
        <w:rPr>
          <w:rFonts w:hint="eastAsia" w:ascii="Times New Roman" w:hAnsi="Times New Roman" w:cs="Times New Roman"/>
          <w:b w:val="0"/>
          <w:bCs w:val="0"/>
          <w:color w:val="auto"/>
        </w:rPr>
      </w:pPr>
    </w:p>
    <w:p w14:paraId="0640E64C">
      <w:pPr>
        <w:spacing w:line="480" w:lineRule="auto"/>
        <w:jc w:val="left"/>
        <w:rPr>
          <w:rFonts w:hint="eastAsia" w:ascii="Times New Roman" w:hAnsi="Times New Roman" w:cs="Times New Roman"/>
          <w:b w:val="0"/>
          <w:bCs w:val="0"/>
          <w:color w:val="auto"/>
        </w:rPr>
      </w:pPr>
      <w:r>
        <w:rPr>
          <w:rFonts w:hint="default" w:ascii="Times New Roman Bold" w:hAnsi="Times New Roman Bold" w:cs="Times New Roman Bold"/>
          <w:b/>
          <w:bCs/>
          <w:color w:val="auto"/>
        </w:rPr>
        <w:t>The Evolution of Luxury Value</w:t>
      </w:r>
    </w:p>
    <w:p w14:paraId="24BBA2C5">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Traditional understandings of luxury consumption have long emphasized material quality, exclusivity, high economic cost, and visible social status (Hennigs et al., 2012). In this model, luxury goods function as markers of wealth, distinction, and elite identity (Hennigs et al., 2012). However, more recent luxury studies suggest that contemporary consumers increasingly define luxury through emotional, symbolic, experiential, and social dimensions rather than purely material ones (Hennigs et al., 2012; Athwal et al., 2019).</w:t>
      </w:r>
    </w:p>
    <w:p w14:paraId="1072EACF">
      <w:pPr>
        <w:spacing w:line="480" w:lineRule="auto"/>
        <w:jc w:val="left"/>
        <w:rPr>
          <w:rFonts w:hint="eastAsia" w:ascii="Times New Roman" w:hAnsi="Times New Roman" w:cs="Times New Roman"/>
          <w:b w:val="0"/>
          <w:bCs w:val="0"/>
          <w:color w:val="auto"/>
        </w:rPr>
      </w:pPr>
    </w:p>
    <w:p w14:paraId="726F735A">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Hennigs et al. (2012) describe luxury value as a multidimensional construct that includes financial, functional, individual, and social value. Their research shows that luxury consumption is not only about price or craftsmanship but also about emotional pleasure, self-expression, and group belonging (Hennigs et al., 2012). This framework is especially useful for understanding New Luxury because it explains why products with limited traditional luxury features can still become culturally meaningful when they satisfy emotional and social needs (Hennigs et al., 2012).</w:t>
      </w:r>
    </w:p>
    <w:p w14:paraId="3250F66B">
      <w:pPr>
        <w:spacing w:line="480" w:lineRule="auto"/>
        <w:jc w:val="left"/>
        <w:rPr>
          <w:rFonts w:hint="eastAsia" w:ascii="Times New Roman" w:hAnsi="Times New Roman" w:cs="Times New Roman"/>
          <w:b w:val="0"/>
          <w:bCs w:val="0"/>
          <w:color w:val="auto"/>
        </w:rPr>
      </w:pPr>
    </w:p>
    <w:p w14:paraId="50CF74B7">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In the Chinese youth consumer context, the individual and social dimensions of luxury appear particularly important. Young consumers often use symbolic products to express personality, participate in online communities, and construct a sense of belonging (Godey et al., 2016; Creevey et al., 2022). Labubu reflects this shift because its popularity is not primarily based on craftsmanship, durability, or functional value. Instead, its value comes from emotional attachment, aesthetic appeal, scarcity-driven excitement, and its ability to signal cultural participation within specific youth communities (Zhang, 2021; Creevey et al., 2022).</w:t>
      </w:r>
    </w:p>
    <w:p w14:paraId="3B4A0BE9">
      <w:pPr>
        <w:spacing w:line="480" w:lineRule="auto"/>
        <w:jc w:val="left"/>
        <w:rPr>
          <w:rFonts w:hint="eastAsia" w:ascii="Times New Roman" w:hAnsi="Times New Roman" w:cs="Times New Roman"/>
          <w:b w:val="0"/>
          <w:bCs w:val="0"/>
          <w:color w:val="auto"/>
        </w:rPr>
      </w:pPr>
    </w:p>
    <w:p w14:paraId="43120EF0">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Athwal et al. (2019) further argue that modern luxury consumption increasingly depends on storytelling, consumer participation, and symbolic meaning. This idea helps explain why Labubu can operate as a form of New Luxury despite being more affordable than traditional luxury goods. Its perceived value is not determined only by price but by the emotional and social meanings created around it through digital circulation and community participation (Athwal et al., 2019; Creevey et al., 2022).</w:t>
      </w:r>
    </w:p>
    <w:p w14:paraId="2B54FD6C">
      <w:pPr>
        <w:spacing w:line="480" w:lineRule="auto"/>
        <w:jc w:val="left"/>
        <w:rPr>
          <w:rFonts w:hint="eastAsia" w:ascii="Times New Roman" w:hAnsi="Times New Roman" w:cs="Times New Roman"/>
          <w:b w:val="0"/>
          <w:bCs w:val="0"/>
          <w:color w:val="auto"/>
        </w:rPr>
      </w:pPr>
    </w:p>
    <w:p w14:paraId="196A4A67">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Therefore, New Luxury in China can be defined as a form of consumption in which emotional resonance, digital visibility, symbolic identity, and limited availability replace traditional luxury markers such as heritage, craftsmanship, and elite price barriers. This definition builds upon existing luxury value theory while adapting it to China’s platform-driven consumer culture (Hennigs et al., 2012; Creevey et al., 2022).</w:t>
      </w:r>
    </w:p>
    <w:p w14:paraId="024DB89C">
      <w:pPr>
        <w:spacing w:line="480" w:lineRule="auto"/>
        <w:jc w:val="left"/>
        <w:rPr>
          <w:rFonts w:hint="eastAsia" w:ascii="Times New Roman" w:hAnsi="Times New Roman" w:cs="Times New Roman"/>
          <w:b w:val="0"/>
          <w:bCs w:val="0"/>
          <w:color w:val="auto"/>
        </w:rPr>
      </w:pPr>
    </w:p>
    <w:p w14:paraId="73748AFF">
      <w:pPr>
        <w:spacing w:line="480" w:lineRule="auto"/>
        <w:jc w:val="left"/>
        <w:rPr>
          <w:rFonts w:hint="eastAsia" w:ascii="Times New Roman" w:hAnsi="Times New Roman" w:cs="Times New Roman"/>
          <w:b w:val="0"/>
          <w:bCs w:val="0"/>
          <w:color w:val="auto"/>
        </w:rPr>
      </w:pPr>
      <w:r>
        <w:rPr>
          <w:rFonts w:hint="default" w:ascii="Times New Roman Bold" w:hAnsi="Times New Roman Bold" w:cs="Times New Roman Bold"/>
          <w:b/>
          <w:bCs/>
          <w:color w:val="auto"/>
        </w:rPr>
        <w:t>Social Media Marketing and Community Formation</w:t>
      </w:r>
    </w:p>
    <w:p w14:paraId="07F0E1A6">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Social media has fundamentally changed the relationship between brands and consumers. Instead of communicating through one-way advertising, brands now rely on interactive platforms where consumers actively participate in producing, circulating, and interpreting brand meaning (Dwivedi et al., 2015; Creevey et al., 2022). This shift is especially important for luxury and lifestyle brands because digital platforms allow them to create emotional attachment, aspirational identity, and community engagement (Godey et al., 2016; Creevey et al., 2022).</w:t>
      </w:r>
    </w:p>
    <w:p w14:paraId="042CB78E">
      <w:pPr>
        <w:spacing w:line="480" w:lineRule="auto"/>
        <w:jc w:val="left"/>
        <w:rPr>
          <w:rFonts w:hint="eastAsia" w:ascii="Times New Roman" w:hAnsi="Times New Roman" w:cs="Times New Roman"/>
          <w:b w:val="0"/>
          <w:bCs w:val="0"/>
          <w:color w:val="auto"/>
        </w:rPr>
      </w:pPr>
    </w:p>
    <w:p w14:paraId="7F83B6DA">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Creevey et al. (2022) argue that luxury brands increasingly use social media not simply as direct sales channels but as spaces for storytelling, exclusivity maintenance, and relationship-building. Their systematic literature review shows that social media can strengthen brand communities by encouraging consumers to interact with brand narratives and with one another (Creevey et al., 2022). Similarly, Godey et al. (2016) find that social media marketing efforts can influence brand equity and consumer behavior by increasing emotional attachment and consumer engagement.</w:t>
      </w:r>
    </w:p>
    <w:p w14:paraId="028A4CA4">
      <w:pPr>
        <w:spacing w:line="480" w:lineRule="auto"/>
        <w:jc w:val="left"/>
        <w:rPr>
          <w:rFonts w:hint="eastAsia" w:ascii="Times New Roman" w:hAnsi="Times New Roman" w:cs="Times New Roman"/>
          <w:b w:val="0"/>
          <w:bCs w:val="0"/>
          <w:color w:val="auto"/>
        </w:rPr>
      </w:pPr>
    </w:p>
    <w:p w14:paraId="42C1EE8F">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These ideas are directly relevant to Labubu because Pop Mart’s marketing ecosystem depends heavily on consumer participation. Labubu-related content often appears in the form of unboxing videos, blind-box openings, collection displays, outfit matching, resale discussions, and “rare pull” reactions. These practices turn private purchasing into a public and shareable ritual (Zhang, 2021; Creevey et al., 2022). As a result, consumers do not merely buy Labubu as an object; they also participate in a symbolic community shaped by shared language, rituals, and emotional responses (Creevey et al., 2022).</w:t>
      </w:r>
    </w:p>
    <w:p w14:paraId="6F894A85">
      <w:pPr>
        <w:spacing w:line="480" w:lineRule="auto"/>
        <w:jc w:val="left"/>
        <w:rPr>
          <w:rFonts w:hint="eastAsia" w:ascii="Times New Roman" w:hAnsi="Times New Roman" w:cs="Times New Roman"/>
          <w:b w:val="0"/>
          <w:bCs w:val="0"/>
          <w:color w:val="auto"/>
        </w:rPr>
      </w:pPr>
    </w:p>
    <w:p w14:paraId="4958EF99">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Blind-box marketing further strengthens this participatory culture. Zhang (2021) explains that blind-box products create consumer excitement through uncertainty, surprise, and the possibility of obtaining rare items. This marketing mechanism encourages repeated purchases because consumers are motivated not only by the product itself but also by anticipation and chance (Zhang, 2021). In Labubu’s case, the blind-box mechanism combines with social media visibility: consumers purchase, reveal, post, compare, and discuss their results online, which then stimulates further desire among viewers (Zhang, 2021; Dwivedi et al., 2015).</w:t>
      </w:r>
    </w:p>
    <w:p w14:paraId="4073396E">
      <w:pPr>
        <w:spacing w:line="480" w:lineRule="auto"/>
        <w:jc w:val="left"/>
        <w:rPr>
          <w:rFonts w:hint="eastAsia" w:ascii="Times New Roman" w:hAnsi="Times New Roman" w:cs="Times New Roman"/>
          <w:b w:val="0"/>
          <w:bCs w:val="0"/>
          <w:color w:val="auto"/>
        </w:rPr>
      </w:pPr>
    </w:p>
    <w:p w14:paraId="6457D9E0">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Social media therefore functions as more than a promotional tool. It becomes a cultural infrastructure that supports New Luxury by making consumption visible, emotionally charged, and community-based (Creevey et al., 2022; Godey et al., 2016). In this process, Labubu’s value is repeatedly reconstructed through user-generated content, peer validation, and online participation.</w:t>
      </w:r>
    </w:p>
    <w:p w14:paraId="50D53A94">
      <w:pPr>
        <w:spacing w:line="480" w:lineRule="auto"/>
        <w:jc w:val="left"/>
        <w:rPr>
          <w:rFonts w:hint="eastAsia" w:ascii="Times New Roman" w:hAnsi="Times New Roman" w:cs="Times New Roman"/>
          <w:b w:val="0"/>
          <w:bCs w:val="0"/>
          <w:color w:val="auto"/>
        </w:rPr>
      </w:pPr>
    </w:p>
    <w:p w14:paraId="4532A545">
      <w:pPr>
        <w:spacing w:line="480" w:lineRule="auto"/>
        <w:jc w:val="left"/>
        <w:rPr>
          <w:rFonts w:hint="eastAsia" w:ascii="Times New Roman" w:hAnsi="Times New Roman" w:cs="Times New Roman"/>
          <w:b w:val="0"/>
          <w:bCs w:val="0"/>
          <w:color w:val="auto"/>
        </w:rPr>
      </w:pPr>
      <w:r>
        <w:rPr>
          <w:rFonts w:hint="default" w:ascii="Times New Roman Bold" w:hAnsi="Times New Roman Bold" w:cs="Times New Roman Bold"/>
          <w:b/>
          <w:bCs/>
          <w:color w:val="auto"/>
        </w:rPr>
        <w:t>Attention Economy and the Conversion of Attention into Desire</w:t>
      </w:r>
    </w:p>
    <w:p w14:paraId="763E0BF9">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The attention economy provides another important framework for understanding Labubu’s popularity. Davenport and Beck (2001) argue that attention becomes a scarce and valuable resource in information-rich environments. Because digital users are surrounded by endless content, the ability to capture and sustain attention becomes economically powerful (Davenport &amp; Beck, 2001).</w:t>
      </w:r>
    </w:p>
    <w:p w14:paraId="68248B36">
      <w:pPr>
        <w:spacing w:line="480" w:lineRule="auto"/>
        <w:jc w:val="left"/>
        <w:rPr>
          <w:rFonts w:hint="eastAsia" w:ascii="Times New Roman" w:hAnsi="Times New Roman" w:cs="Times New Roman"/>
          <w:b w:val="0"/>
          <w:bCs w:val="0"/>
          <w:color w:val="auto"/>
        </w:rPr>
      </w:pPr>
    </w:p>
    <w:p w14:paraId="64A9AB8A">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Franck (2019) similarly describes attention as a form of capital that can be accumulated, exchanged, and transformed into social or economic value. In platform-based environments, visibility can increase perceived importance because users tend to interpret frequently circulated content as more culturally relevant (Franck, 2019). This framework helps explain why highly visible products often become more desirable even when their material value remains unchanged (Franck, 2019; Marwick, 2015).</w:t>
      </w:r>
    </w:p>
    <w:p w14:paraId="63F5067F">
      <w:pPr>
        <w:spacing w:line="480" w:lineRule="auto"/>
        <w:jc w:val="left"/>
        <w:rPr>
          <w:rFonts w:hint="eastAsia" w:ascii="Times New Roman" w:hAnsi="Times New Roman" w:cs="Times New Roman"/>
          <w:b w:val="0"/>
          <w:bCs w:val="0"/>
          <w:color w:val="auto"/>
        </w:rPr>
      </w:pPr>
    </w:p>
    <w:p w14:paraId="4F41F4E8">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Tufekci (2013) examines how digital networks allow individuals and groups to gain influence by capturing attention outside traditional gatekeeping systems. Although Tufekci’s study focuses on activism and microcelebrity, the same logic applies to consumer culture: influencers, collectors, and ordinary users can all contribute to the circulation of desire by repeatedly producing visible content (Tufekci, 2013; Marwick, 2015).</w:t>
      </w:r>
    </w:p>
    <w:p w14:paraId="42DBC9C0">
      <w:pPr>
        <w:spacing w:line="480" w:lineRule="auto"/>
        <w:jc w:val="left"/>
        <w:rPr>
          <w:rFonts w:hint="eastAsia" w:ascii="Times New Roman" w:hAnsi="Times New Roman" w:cs="Times New Roman"/>
          <w:b w:val="0"/>
          <w:bCs w:val="0"/>
          <w:color w:val="auto"/>
        </w:rPr>
      </w:pPr>
    </w:p>
    <w:p w14:paraId="1EED58E6">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In the case of Labubu, attention is converted into desire through repeated exposure, emotional storytelling, and visible participation. Viral unboxing videos, collection posts, and limited-edition announcements make Labubu appear socially important and culturally urgent (Zhang, 2021; Creevey et al., 2022). The more consumers see Labubu online, the more they may feel that the product is desirable, scarce, and socially meaningful (Franck, 2019; Marwick, 2015).</w:t>
      </w:r>
    </w:p>
    <w:p w14:paraId="0904EF19">
      <w:pPr>
        <w:spacing w:line="480" w:lineRule="auto"/>
        <w:jc w:val="left"/>
        <w:rPr>
          <w:rFonts w:hint="eastAsia" w:ascii="Times New Roman" w:hAnsi="Times New Roman" w:cs="Times New Roman"/>
          <w:b w:val="0"/>
          <w:bCs w:val="0"/>
          <w:color w:val="auto"/>
        </w:rPr>
      </w:pPr>
    </w:p>
    <w:p w14:paraId="00BFF6A9">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Marwick (2015) further argues that luxury-related online behavior is closely tied to self-presentation and aspirational visibility. Consumers display objects online not only to show ownership but also to construct identity and communicate taste (Marwick, 2015). Labubu fits this pattern because posting collections or rare items allows consumers to signal personality, aesthetic preference, and membership in a specific cultural group (Marwick, 2015; Godey et al., 2016).</w:t>
      </w:r>
    </w:p>
    <w:p w14:paraId="12FF3D5F">
      <w:pPr>
        <w:spacing w:line="480" w:lineRule="auto"/>
        <w:jc w:val="left"/>
        <w:rPr>
          <w:rFonts w:hint="eastAsia" w:ascii="Times New Roman" w:hAnsi="Times New Roman" w:cs="Times New Roman"/>
          <w:b w:val="0"/>
          <w:bCs w:val="0"/>
          <w:color w:val="auto"/>
        </w:rPr>
      </w:pPr>
    </w:p>
    <w:p w14:paraId="21382626">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 xml:space="preserve">Therefore, the attention economy explains how social media transforms Labubu from a collectible toy into a desirable cultural symbol. Attention generates visibility, </w:t>
      </w:r>
      <w:bookmarkEnd w:id="0"/>
      <w:r>
        <w:rPr>
          <w:rFonts w:hint="eastAsia" w:ascii="Times New Roman" w:hAnsi="Times New Roman" w:cs="Times New Roman"/>
          <w:b w:val="0"/>
          <w:bCs w:val="0"/>
          <w:color w:val="auto"/>
        </w:rPr>
        <w:t>visibility produces perceived value, and perceived value motivates further purchasing and posting. This feedback loop is central to the development of New Luxury in China’s digital consumer culture (Davenport &amp; Beck, 2001; Franck, 2019; Creevey et al., 2022).</w:t>
      </w:r>
    </w:p>
    <w:p w14:paraId="1A4DB180">
      <w:pPr>
        <w:spacing w:line="480" w:lineRule="auto"/>
        <w:jc w:val="left"/>
        <w:rPr>
          <w:rFonts w:hint="eastAsia" w:ascii="Times New Roman" w:hAnsi="Times New Roman" w:cs="Times New Roman"/>
          <w:b w:val="0"/>
          <w:bCs w:val="0"/>
          <w:color w:val="auto"/>
        </w:rPr>
      </w:pPr>
    </w:p>
    <w:p w14:paraId="2195F886">
      <w:pPr>
        <w:spacing w:line="480" w:lineRule="auto"/>
        <w:jc w:val="left"/>
        <w:rPr>
          <w:rFonts w:hint="eastAsia" w:ascii="Times New Roman" w:hAnsi="Times New Roman" w:cs="Times New Roman"/>
          <w:b w:val="0"/>
          <w:bCs w:val="0"/>
          <w:color w:val="auto"/>
        </w:rPr>
      </w:pPr>
      <w:r>
        <w:rPr>
          <w:rFonts w:hint="default" w:ascii="Times New Roman Bold" w:hAnsi="Times New Roman Bold" w:cs="Times New Roman Bold"/>
          <w:b/>
          <w:bCs/>
          <w:color w:val="auto"/>
        </w:rPr>
        <w:t xml:space="preserve">Research </w:t>
      </w:r>
      <w:r>
        <w:rPr>
          <w:rFonts w:hint="eastAsia" w:ascii="Times New Roman" w:hAnsi="Times New Roman" w:cs="Times New Roman"/>
          <w:b/>
          <w:bCs/>
          <w:color w:val="auto"/>
        </w:rPr>
        <w:t>Gap</w:t>
      </w:r>
    </w:p>
    <w:p w14:paraId="1C38DAF3">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Existing literature provides important insights into changing luxury values, social media branding strategies, blind-box marketing, and the attention economy (Hennigs et al., 2012; Davenport &amp; Beck, 2001; Zhang, 2021; Creevey et al., 2022). However, several gaps remain.</w:t>
      </w:r>
    </w:p>
    <w:p w14:paraId="40DE9158">
      <w:pPr>
        <w:spacing w:line="480" w:lineRule="auto"/>
        <w:jc w:val="left"/>
        <w:rPr>
          <w:rFonts w:hint="eastAsia" w:ascii="Times New Roman" w:hAnsi="Times New Roman" w:cs="Times New Roman"/>
          <w:b w:val="0"/>
          <w:bCs w:val="0"/>
          <w:color w:val="auto"/>
        </w:rPr>
      </w:pPr>
    </w:p>
    <w:p w14:paraId="7DFBED10">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First, much luxury research still focuses on Western-centered definitions of luxury, especially heritage, craftsmanship, exclusivity, and high price (Hennigs et al., 2012; Athwal et al., 2019). These frameworks are useful but insufficient for explaining how Chinese youth consumers define luxury through emotional value, digital participation, and online community belonging (Creevey et al., 2022; Godey et al., 2016).</w:t>
      </w:r>
    </w:p>
    <w:p w14:paraId="664B1CAF">
      <w:pPr>
        <w:spacing w:line="480" w:lineRule="auto"/>
        <w:jc w:val="left"/>
        <w:rPr>
          <w:rFonts w:hint="eastAsia" w:ascii="Times New Roman" w:hAnsi="Times New Roman" w:cs="Times New Roman"/>
          <w:b w:val="0"/>
          <w:bCs w:val="0"/>
          <w:color w:val="auto"/>
        </w:rPr>
      </w:pPr>
    </w:p>
    <w:p w14:paraId="220578A6">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Second, although scholars have studied social media marketing and blind-box consumption separately, fewer studies explain how these mechanisms work together to produce repeated emotional consumption (Dwivedi et al., 2015; Zhang, 2021). Labubu is important because it combines blind-box uncertainty, scarcity culture, social media visibility, and emotional attachment in one consumer ecosystem.</w:t>
      </w:r>
    </w:p>
    <w:p w14:paraId="1B734B03">
      <w:pPr>
        <w:spacing w:line="480" w:lineRule="auto"/>
        <w:jc w:val="left"/>
        <w:rPr>
          <w:rFonts w:hint="eastAsia" w:ascii="Times New Roman" w:hAnsi="Times New Roman" w:cs="Times New Roman"/>
          <w:b w:val="0"/>
          <w:bCs w:val="0"/>
          <w:color w:val="auto"/>
        </w:rPr>
      </w:pPr>
    </w:p>
    <w:p w14:paraId="7AD1FCE6">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Third, there is limited academic research directly examining Labubu as a case study. Existing studies on luxury, attention, and blind boxes offer relevant theories, but they do not fully explain why Labubu has become a symbolic example of New Luxury in modern China (Zhang, 2021; Creevey et al., 2022; Franck, 2019).</w:t>
      </w:r>
    </w:p>
    <w:p w14:paraId="7327E0E5">
      <w:pPr>
        <w:spacing w:line="480" w:lineRule="auto"/>
        <w:jc w:val="left"/>
        <w:rPr>
          <w:rFonts w:hint="eastAsia" w:ascii="Times New Roman" w:hAnsi="Times New Roman" w:cs="Times New Roman"/>
          <w:b w:val="0"/>
          <w:bCs w:val="0"/>
          <w:color w:val="auto"/>
        </w:rPr>
      </w:pPr>
    </w:p>
    <w:p w14:paraId="47E3EE7B">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To address these gaps, this study examines Labubu consumption through three research questions:</w:t>
      </w:r>
    </w:p>
    <w:p w14:paraId="11DF4768">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How can the concept of New Luxury be defined within modern Chinese consumer culture?</w:t>
      </w:r>
    </w:p>
    <w:p w14:paraId="59244009">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How do Chinese social media marketing strategies leverage the attention economy to transform attention into consumer desire for Labubu?</w:t>
      </w:r>
    </w:p>
    <w:p w14:paraId="2B78ACFA">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What psychological motivations drive consumers to repeatedly purchase Labubu products?</w:t>
      </w:r>
    </w:p>
    <w:p w14:paraId="72D21CE9">
      <w:pPr>
        <w:spacing w:line="480" w:lineRule="auto"/>
        <w:jc w:val="left"/>
        <w:rPr>
          <w:rFonts w:hint="eastAsia" w:ascii="Times New Roman" w:hAnsi="Times New Roman" w:cs="Times New Roman"/>
          <w:b w:val="0"/>
          <w:bCs w:val="0"/>
          <w:color w:val="auto"/>
        </w:rPr>
      </w:pPr>
    </w:p>
    <w:p w14:paraId="510BA3B5">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By answering these questions, this research aims to develop a culturally specific framework for understanding New Luxury in China and explain how emotional value, online visibility, and community participation interact in contemporary youth consumption.</w:t>
      </w:r>
    </w:p>
    <w:p w14:paraId="2FD69A9F">
      <w:pPr>
        <w:spacing w:line="480" w:lineRule="auto"/>
        <w:jc w:val="left"/>
        <w:rPr>
          <w:rFonts w:hint="eastAsia" w:ascii="Times New Roman" w:hAnsi="Times New Roman" w:cs="Times New Roman"/>
          <w:b w:val="0"/>
          <w:bCs w:val="0"/>
          <w:color w:val="auto"/>
        </w:rPr>
      </w:pPr>
    </w:p>
    <w:p w14:paraId="2BD5D573">
      <w:pPr>
        <w:spacing w:line="480" w:lineRule="auto"/>
        <w:jc w:val="left"/>
        <w:rPr>
          <w:rFonts w:hint="eastAsia" w:ascii="Times New Roman" w:hAnsi="Times New Roman" w:cs="Times New Roman"/>
          <w:b w:val="0"/>
          <w:bCs w:val="0"/>
          <w:color w:val="auto"/>
        </w:rPr>
      </w:pPr>
    </w:p>
    <w:p w14:paraId="37418025">
      <w:pPr>
        <w:spacing w:line="480" w:lineRule="auto"/>
        <w:jc w:val="left"/>
        <w:rPr>
          <w:rFonts w:hint="eastAsia" w:ascii="Times New Roman" w:hAnsi="Times New Roman" w:cs="Times New Roman"/>
          <w:b w:val="0"/>
          <w:bCs w:val="0"/>
          <w:color w:val="auto"/>
        </w:rPr>
      </w:pPr>
    </w:p>
    <w:p w14:paraId="76B65E7F">
      <w:pPr>
        <w:spacing w:line="480" w:lineRule="auto"/>
        <w:jc w:val="left"/>
        <w:rPr>
          <w:rFonts w:hint="eastAsia" w:ascii="Times New Roman" w:hAnsi="Times New Roman" w:cs="Times New Roman"/>
          <w:b w:val="0"/>
          <w:bCs w:val="0"/>
          <w:color w:val="auto"/>
        </w:rPr>
      </w:pPr>
    </w:p>
    <w:p w14:paraId="3983BCAD">
      <w:pPr>
        <w:spacing w:line="480" w:lineRule="auto"/>
        <w:jc w:val="left"/>
        <w:rPr>
          <w:rFonts w:hint="eastAsia" w:ascii="Times New Roman" w:hAnsi="Times New Roman" w:cs="Times New Roman"/>
          <w:b w:val="0"/>
          <w:bCs w:val="0"/>
          <w:color w:val="auto"/>
        </w:rPr>
      </w:pPr>
    </w:p>
    <w:p w14:paraId="01181359">
      <w:pPr>
        <w:spacing w:line="480" w:lineRule="auto"/>
        <w:jc w:val="left"/>
        <w:rPr>
          <w:rFonts w:hint="eastAsia" w:ascii="Times New Roman" w:hAnsi="Times New Roman" w:cs="Times New Roman"/>
          <w:b w:val="0"/>
          <w:bCs w:val="0"/>
          <w:color w:val="auto"/>
        </w:rPr>
      </w:pPr>
    </w:p>
    <w:p w14:paraId="56D88821">
      <w:pPr>
        <w:spacing w:line="480" w:lineRule="auto"/>
        <w:jc w:val="left"/>
        <w:rPr>
          <w:rFonts w:hint="eastAsia" w:ascii="Times New Roman" w:hAnsi="Times New Roman" w:cs="Times New Roman"/>
          <w:b w:val="0"/>
          <w:bCs w:val="0"/>
          <w:color w:val="auto"/>
        </w:rPr>
      </w:pPr>
    </w:p>
    <w:p w14:paraId="7CD55548">
      <w:pPr>
        <w:spacing w:line="480" w:lineRule="auto"/>
        <w:jc w:val="left"/>
        <w:rPr>
          <w:rFonts w:hint="eastAsia" w:ascii="Times New Roman" w:hAnsi="Times New Roman" w:cs="Times New Roman"/>
          <w:b w:val="0"/>
          <w:bCs w:val="0"/>
          <w:color w:val="auto"/>
        </w:rPr>
      </w:pPr>
    </w:p>
    <w:p w14:paraId="14A83242">
      <w:pPr>
        <w:spacing w:line="480" w:lineRule="auto"/>
        <w:jc w:val="center"/>
        <w:rPr>
          <w:rFonts w:hint="default" w:ascii="Times New Roman Bold" w:hAnsi="Times New Roman Bold" w:cs="Times New Roman Bold"/>
          <w:b/>
          <w:bCs/>
          <w:color w:val="auto"/>
        </w:rPr>
      </w:pPr>
      <w:r>
        <w:rPr>
          <w:rFonts w:hint="default" w:ascii="Times New Roman Bold" w:hAnsi="Times New Roman Bold" w:cs="Times New Roman Bold"/>
          <w:b/>
          <w:bCs/>
          <w:color w:val="auto"/>
        </w:rPr>
        <w:t>Methodology</w:t>
      </w:r>
    </w:p>
    <w:p w14:paraId="638B3FEB">
      <w:pPr>
        <w:spacing w:line="480" w:lineRule="auto"/>
        <w:jc w:val="left"/>
        <w:rPr>
          <w:rFonts w:hint="default" w:ascii="Times New Roman Bold" w:hAnsi="Times New Roman Bold" w:cs="Times New Roman Bold"/>
          <w:b/>
          <w:bCs/>
          <w:color w:val="auto"/>
        </w:rPr>
      </w:pPr>
      <w:r>
        <w:rPr>
          <w:rFonts w:hint="default" w:ascii="Times New Roman Bold" w:hAnsi="Times New Roman Bold" w:cs="Times New Roman Bold"/>
          <w:b/>
          <w:bCs/>
          <w:color w:val="auto"/>
        </w:rPr>
        <w:t>1. Research Approach</w:t>
      </w:r>
    </w:p>
    <w:p w14:paraId="1B19F9AD">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This study adopts a mixed-methods approach combining quantitative surveys, qualitative interviews, and marketing analysis. A mixed-methods design was selected because the research questions involve both measurable behavioral trends and subjective emotional experiences. Quantitative data allows for the identification of broader patterns among consumers, while qualitative interviews provide deeper insight into personal motivations, identity formation, and emotional attachment.</w:t>
      </w:r>
    </w:p>
    <w:p w14:paraId="39E3AD7F">
      <w:pPr>
        <w:spacing w:line="480" w:lineRule="auto"/>
        <w:jc w:val="left"/>
        <w:rPr>
          <w:rFonts w:hint="eastAsia" w:ascii="Times New Roman" w:hAnsi="Times New Roman" w:cs="Times New Roman"/>
          <w:b w:val="0"/>
          <w:bCs w:val="0"/>
          <w:color w:val="auto"/>
        </w:rPr>
      </w:pPr>
    </w:p>
    <w:p w14:paraId="3F9F2202">
      <w:pPr>
        <w:spacing w:line="480" w:lineRule="auto"/>
        <w:jc w:val="left"/>
        <w:rPr>
          <w:rFonts w:hint="default" w:ascii="Times New Roman Bold" w:hAnsi="Times New Roman Bold" w:cs="Times New Roman Bold"/>
          <w:b/>
          <w:bCs/>
          <w:color w:val="auto"/>
        </w:rPr>
      </w:pPr>
      <w:r>
        <w:rPr>
          <w:rFonts w:hint="default" w:ascii="Times New Roman Bold" w:hAnsi="Times New Roman Bold" w:cs="Times New Roman Bold"/>
          <w:b/>
          <w:bCs/>
          <w:color w:val="auto"/>
        </w:rPr>
        <w:t>2. Participants and Materials</w:t>
      </w:r>
    </w:p>
    <w:p w14:paraId="4B17AD54">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2.1 Participants</w:t>
      </w:r>
    </w:p>
    <w:p w14:paraId="6D3F83DA">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The audience will also include young consumers (15-30) who have already completed purchasing or having relationships with Labubu. A total of 128 survey responses were collected through online platforms including Xiaohongshu, WeChat groups, and school communities. Additionally, eight participants were selected for semi-structured interviews based on their high level of engagement with Labubu-related communities.</w:t>
      </w:r>
    </w:p>
    <w:p w14:paraId="56C7490A">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2.2 Materials</w:t>
      </w:r>
    </w:p>
    <w:p w14:paraId="239305C6">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Three primary sources of data were used:</w:t>
      </w:r>
    </w:p>
    <w:p w14:paraId="6C68E50B">
      <w:pPr>
        <w:numPr>
          <w:ilvl w:val="0"/>
          <w:numId w:val="1"/>
        </w:numPr>
        <w:spacing w:line="480" w:lineRule="auto"/>
        <w:ind w:left="420" w:leftChars="0" w:hanging="420" w:firstLineChars="0"/>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An online questionnaire distributed through Wenjuanxing.</w:t>
      </w:r>
    </w:p>
    <w:p w14:paraId="41065368">
      <w:pPr>
        <w:numPr>
          <w:ilvl w:val="0"/>
          <w:numId w:val="1"/>
        </w:numPr>
        <w:spacing w:line="480" w:lineRule="auto"/>
        <w:ind w:left="420" w:leftChars="0" w:hanging="420" w:firstLineChars="0"/>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Semi-structured interviews conducted online.</w:t>
      </w:r>
    </w:p>
    <w:p w14:paraId="295B3949">
      <w:pPr>
        <w:numPr>
          <w:ilvl w:val="0"/>
          <w:numId w:val="1"/>
        </w:numPr>
        <w:spacing w:line="480" w:lineRule="auto"/>
        <w:ind w:left="420" w:leftChars="0" w:hanging="420" w:firstLineChars="0"/>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Publicly available marketing data from Pop Mart social media accounts and resale platforms.</w:t>
      </w:r>
    </w:p>
    <w:p w14:paraId="65FE25F0">
      <w:pPr>
        <w:spacing w:line="480" w:lineRule="auto"/>
        <w:jc w:val="left"/>
        <w:rPr>
          <w:rFonts w:hint="eastAsia" w:ascii="Times New Roman" w:hAnsi="Times New Roman" w:cs="Times New Roman"/>
          <w:b w:val="0"/>
          <w:bCs w:val="0"/>
          <w:color w:val="auto"/>
        </w:rPr>
      </w:pPr>
    </w:p>
    <w:p w14:paraId="0E7C873A">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The questionnaire included Likert-scale questions measuring emotional attachment, perceived scarcity, social media exposure, FOMO (fear of missing out), and repeated purchase intentions.</w:t>
      </w:r>
    </w:p>
    <w:p w14:paraId="7016F44C">
      <w:pPr>
        <w:spacing w:line="480" w:lineRule="auto"/>
        <w:jc w:val="left"/>
        <w:rPr>
          <w:rFonts w:hint="eastAsia" w:ascii="Times New Roman" w:hAnsi="Times New Roman" w:cs="Times New Roman"/>
          <w:b w:val="0"/>
          <w:bCs w:val="0"/>
          <w:color w:val="auto"/>
        </w:rPr>
      </w:pPr>
    </w:p>
    <w:p w14:paraId="40BBC243">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The interview guide focused on emotional experiences, online community participation, collection habits, and identity expression.</w:t>
      </w:r>
    </w:p>
    <w:p w14:paraId="5A88E8F6">
      <w:pPr>
        <w:spacing w:line="480" w:lineRule="auto"/>
        <w:jc w:val="left"/>
        <w:rPr>
          <w:rFonts w:hint="default" w:ascii="Times New Roman Bold" w:hAnsi="Times New Roman Bold" w:cs="Times New Roman Bold"/>
          <w:b/>
          <w:bCs/>
          <w:color w:val="auto"/>
        </w:rPr>
      </w:pPr>
      <w:r>
        <w:rPr>
          <w:rFonts w:hint="default" w:ascii="Times New Roman Bold" w:hAnsi="Times New Roman Bold" w:cs="Times New Roman Bold"/>
          <w:b/>
          <w:bCs/>
          <w:color w:val="auto"/>
        </w:rPr>
        <w:t>3. Design of Research and Data collection.</w:t>
      </w:r>
    </w:p>
    <w:p w14:paraId="79E9FE45">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3.1 Questionnaire</w:t>
      </w:r>
    </w:p>
    <w:p w14:paraId="3C7DE5C9">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The questionnaire will have four parts namely demographics, perception of New Luxury, social media impact, and psychological motivation. Constructs like emotional attachment, perceived scarcity, perceived fear of missing out (FOMO), and feeling of belonging to the community will be measured by Likert-scale items (1 = strongly disagree, 5 = strongly agree). A number of items will be based on the existing reading on the luxury and consumer psychology research to improve construct validity (Hennigs et al., 2012; Creevey et al., 2021).</w:t>
      </w:r>
    </w:p>
    <w:p w14:paraId="6F533067">
      <w:pPr>
        <w:spacing w:line="480" w:lineRule="auto"/>
        <w:jc w:val="left"/>
        <w:rPr>
          <w:rFonts w:hint="eastAsia" w:ascii="Times New Roman" w:hAnsi="Times New Roman" w:cs="Times New Roman"/>
          <w:b w:val="0"/>
          <w:bCs w:val="0"/>
          <w:color w:val="auto"/>
        </w:rPr>
      </w:pPr>
    </w:p>
    <w:p w14:paraId="21296467">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Cronbach’s alpha will be calculated on each multi-item scale to make sure that the scale is reliable. General consumption trends will be recognized with the help of the descriptive statistics, and the correlation will be investigated to understand the differences between social media activity and buying habit. Regression analysis can also be used in the study where necessary, to analyze the predictive value of emotional, and social variables on purchase frequency.</w:t>
      </w:r>
    </w:p>
    <w:p w14:paraId="668E6DEB">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3.2 Semi-Structured Interviews</w:t>
      </w:r>
    </w:p>
    <w:p w14:paraId="21E4EE97">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The semi-structured interviews with 6-10 participants will be carried out in depth using surveys performed on survey responders who express having a strong engagement with Labubu-related communities. The interview questions will be directed towards the emotional experience and feelings of scarcity and how frequently the participants get a purchase and meaning of a symbol that Labubu carries. This qualitative measure enables the inquiry into the subjective meanings which cannot be comprehensively represented using quantitative data.</w:t>
      </w:r>
    </w:p>
    <w:p w14:paraId="2C1C0BB1">
      <w:pPr>
        <w:spacing w:line="480" w:lineRule="auto"/>
        <w:jc w:val="left"/>
        <w:rPr>
          <w:rFonts w:hint="eastAsia" w:ascii="Times New Roman" w:hAnsi="Times New Roman" w:cs="Times New Roman"/>
          <w:b w:val="0"/>
          <w:bCs w:val="0"/>
          <w:color w:val="auto"/>
        </w:rPr>
      </w:pPr>
    </w:p>
    <w:p w14:paraId="681D6316">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Interpretation of interview data will take the form of thematic analysis and data will be transcribed. To arrive at such recurring patterns in terms of identity building, emotional satisfaction and community involvement, the process of codes development will be inductive. It is a qualitative layer which fills the information provided during the survey and provides contextualized information regarding the realization of the experience of New Luxury at a personal level.</w:t>
      </w:r>
    </w:p>
    <w:p w14:paraId="56F2C6DD">
      <w:pPr>
        <w:spacing w:line="480" w:lineRule="auto"/>
        <w:jc w:val="left"/>
        <w:rPr>
          <w:rFonts w:hint="eastAsia" w:ascii="Times New Roman" w:hAnsi="Times New Roman" w:cs="Times New Roman"/>
          <w:b w:val="0"/>
          <w:bCs w:val="0"/>
          <w:color w:val="auto"/>
        </w:rPr>
      </w:pPr>
    </w:p>
    <w:p w14:paraId="4BCF5288">
      <w:pPr>
        <w:spacing w:line="480" w:lineRule="auto"/>
        <w:jc w:val="left"/>
        <w:rPr>
          <w:rFonts w:hint="eastAsia" w:ascii="Times New Roman" w:hAnsi="Times New Roman" w:cs="Times New Roman"/>
          <w:b w:val="0"/>
          <w:bCs w:val="0"/>
          <w:color w:val="auto"/>
        </w:rPr>
      </w:pPr>
      <w:r>
        <w:rPr>
          <w:rFonts w:hint="default" w:ascii="Times New Roman Bold" w:hAnsi="Times New Roman Bold" w:cs="Times New Roman Bold"/>
          <w:b/>
          <w:bCs/>
          <w:color w:val="auto"/>
        </w:rPr>
        <w:t>3.3 Marketing Data</w:t>
      </w:r>
    </w:p>
    <w:p w14:paraId="7E595CC0">
      <w:pPr>
        <w:spacing w:line="480" w:lineRule="auto"/>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Marketing materials from Pop Mart were collected and analyzed, including:</w:t>
      </w:r>
    </w:p>
    <w:p w14:paraId="72A106B4">
      <w:pPr>
        <w:spacing w:line="480" w:lineRule="auto"/>
        <w:jc w:val="left"/>
        <w:rPr>
          <w:rFonts w:hint="eastAsia" w:ascii="Times New Roman" w:hAnsi="Times New Roman" w:cs="Times New Roman"/>
          <w:b w:val="0"/>
          <w:bCs w:val="0"/>
          <w:color w:val="auto"/>
        </w:rPr>
      </w:pPr>
    </w:p>
    <w:p w14:paraId="0BDDE0FD">
      <w:pPr>
        <w:numPr>
          <w:ilvl w:val="0"/>
          <w:numId w:val="1"/>
        </w:numPr>
        <w:spacing w:line="480" w:lineRule="auto"/>
        <w:ind w:left="420" w:leftChars="0" w:hanging="420" w:firstLineChars="0"/>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Release calendars</w:t>
      </w:r>
    </w:p>
    <w:p w14:paraId="202FE6DC">
      <w:pPr>
        <w:numPr>
          <w:ilvl w:val="0"/>
          <w:numId w:val="1"/>
        </w:numPr>
        <w:spacing w:line="480" w:lineRule="auto"/>
        <w:ind w:left="420" w:leftChars="0" w:hanging="420" w:firstLineChars="0"/>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Social media engagement statistics</w:t>
      </w:r>
    </w:p>
    <w:p w14:paraId="1E9DBE2E">
      <w:pPr>
        <w:numPr>
          <w:ilvl w:val="0"/>
          <w:numId w:val="1"/>
        </w:numPr>
        <w:spacing w:line="480" w:lineRule="auto"/>
        <w:ind w:left="420" w:leftChars="0" w:hanging="420" w:firstLineChars="0"/>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Viral online campaigns</w:t>
      </w:r>
    </w:p>
    <w:p w14:paraId="5ACBA3E0">
      <w:pPr>
        <w:numPr>
          <w:ilvl w:val="0"/>
          <w:numId w:val="1"/>
        </w:numPr>
        <w:spacing w:line="480" w:lineRule="auto"/>
        <w:ind w:left="420" w:leftChars="0" w:hanging="420" w:firstLineChars="0"/>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Limited-edition announcements</w:t>
      </w:r>
    </w:p>
    <w:p w14:paraId="17A281AB">
      <w:pPr>
        <w:numPr>
          <w:ilvl w:val="0"/>
          <w:numId w:val="1"/>
        </w:numPr>
        <w:spacing w:line="480" w:lineRule="auto"/>
        <w:ind w:left="420" w:leftChars="0" w:hanging="420" w:firstLineChars="0"/>
        <w:jc w:val="left"/>
        <w:rPr>
          <w:rFonts w:hint="eastAsia" w:ascii="Times New Roman" w:hAnsi="Times New Roman" w:cs="Times New Roman"/>
          <w:b w:val="0"/>
          <w:bCs w:val="0"/>
          <w:color w:val="auto"/>
        </w:rPr>
      </w:pPr>
      <w:r>
        <w:rPr>
          <w:rFonts w:hint="eastAsia" w:ascii="Times New Roman" w:hAnsi="Times New Roman" w:cs="Times New Roman"/>
          <w:b w:val="0"/>
          <w:bCs w:val="0"/>
          <w:color w:val="auto"/>
        </w:rPr>
        <w:t>Resale market discussions</w:t>
      </w:r>
    </w:p>
    <w:p w14:paraId="4BA0F753">
      <w:pPr>
        <w:spacing w:line="480" w:lineRule="auto"/>
        <w:jc w:val="left"/>
        <w:rPr>
          <w:rFonts w:hint="eastAsia" w:ascii="Times New Roman" w:hAnsi="Times New Roman" w:cs="Times New Roman"/>
          <w:b w:val="0"/>
          <w:bCs w:val="0"/>
          <w:color w:val="auto"/>
        </w:rPr>
      </w:pPr>
    </w:p>
    <w:p w14:paraId="534C34DC">
      <w:pPr>
        <w:spacing w:line="480" w:lineRule="auto"/>
        <w:jc w:val="left"/>
        <w:rPr>
          <w:rFonts w:hint="default" w:ascii="Times New Roman" w:hAnsi="Times New Roman" w:cs="Times New Roman"/>
          <w:b w:val="0"/>
          <w:bCs w:val="0"/>
          <w:color w:val="auto"/>
          <w:lang w:val="en-US"/>
        </w:rPr>
      </w:pPr>
      <w:r>
        <w:rPr>
          <w:rFonts w:hint="eastAsia" w:ascii="Times New Roman" w:hAnsi="Times New Roman" w:cs="Times New Roman"/>
          <w:b w:val="0"/>
          <w:bCs w:val="0"/>
          <w:color w:val="auto"/>
        </w:rPr>
        <w:t>These materials helped contextualize how scarcity and visibility contributed to consumer behavio</w:t>
      </w:r>
      <w:r>
        <w:rPr>
          <w:rFonts w:hint="default" w:ascii="Times New Roman" w:hAnsi="Times New Roman" w:cs="Times New Roman"/>
          <w:b w:val="0"/>
          <w:bCs w:val="0"/>
          <w:color w:val="auto"/>
          <w:lang w:val="en-US"/>
        </w:rPr>
        <w:t>r.</w:t>
      </w:r>
    </w:p>
    <w:p w14:paraId="270DCAF4">
      <w:pPr>
        <w:spacing w:line="480" w:lineRule="auto"/>
        <w:jc w:val="left"/>
        <w:rPr>
          <w:rFonts w:hint="default" w:ascii="Times New Roman" w:hAnsi="Times New Roman" w:cs="Times New Roman"/>
          <w:b w:val="0"/>
          <w:bCs w:val="0"/>
          <w:color w:val="auto"/>
          <w:lang w:val="en-US"/>
        </w:rPr>
      </w:pPr>
    </w:p>
    <w:p w14:paraId="782B99D5">
      <w:pPr>
        <w:spacing w:line="480" w:lineRule="auto"/>
        <w:jc w:val="left"/>
        <w:rPr>
          <w:rFonts w:hint="default" w:ascii="Times New Roman" w:hAnsi="Times New Roman" w:cs="Times New Roman"/>
          <w:b w:val="0"/>
          <w:bCs w:val="0"/>
          <w:color w:val="auto"/>
          <w:lang w:val="en-US"/>
        </w:rPr>
      </w:pPr>
    </w:p>
    <w:p w14:paraId="2E0D9115">
      <w:pPr>
        <w:spacing w:line="480" w:lineRule="auto"/>
        <w:jc w:val="left"/>
        <w:rPr>
          <w:rFonts w:hint="default" w:ascii="Times New Roman" w:hAnsi="Times New Roman" w:cs="Times New Roman"/>
          <w:b w:val="0"/>
          <w:bCs w:val="0"/>
          <w:color w:val="auto"/>
          <w:lang w:val="en-US"/>
        </w:rPr>
      </w:pPr>
    </w:p>
    <w:p w14:paraId="7AB47BFF">
      <w:pPr>
        <w:spacing w:line="480" w:lineRule="auto"/>
        <w:jc w:val="left"/>
        <w:rPr>
          <w:rFonts w:hint="default" w:ascii="Times New Roman" w:hAnsi="Times New Roman" w:cs="Times New Roman"/>
          <w:b w:val="0"/>
          <w:bCs w:val="0"/>
          <w:color w:val="auto"/>
          <w:lang w:val="en-US"/>
        </w:rPr>
      </w:pPr>
    </w:p>
    <w:p w14:paraId="139D1866">
      <w:pPr>
        <w:spacing w:line="480" w:lineRule="auto"/>
        <w:jc w:val="left"/>
        <w:rPr>
          <w:rFonts w:hint="default" w:ascii="Times New Roman" w:hAnsi="Times New Roman" w:cs="Times New Roman"/>
          <w:b w:val="0"/>
          <w:bCs w:val="0"/>
          <w:color w:val="auto"/>
          <w:lang w:val="en-US"/>
        </w:rPr>
      </w:pPr>
    </w:p>
    <w:p w14:paraId="09964F54">
      <w:pPr>
        <w:spacing w:line="480" w:lineRule="auto"/>
        <w:jc w:val="left"/>
        <w:rPr>
          <w:rFonts w:hint="default" w:ascii="Times New Roman" w:hAnsi="Times New Roman" w:cs="Times New Roman"/>
          <w:b w:val="0"/>
          <w:bCs w:val="0"/>
          <w:color w:val="auto"/>
          <w:lang w:val="en-US"/>
        </w:rPr>
      </w:pPr>
    </w:p>
    <w:p w14:paraId="6CCFAC93">
      <w:pPr>
        <w:spacing w:line="480" w:lineRule="auto"/>
        <w:jc w:val="left"/>
        <w:rPr>
          <w:rFonts w:hint="default" w:ascii="Times New Roman" w:hAnsi="Times New Roman" w:cs="Times New Roman"/>
          <w:b w:val="0"/>
          <w:bCs w:val="0"/>
          <w:color w:val="auto"/>
          <w:lang w:val="en-US"/>
        </w:rPr>
      </w:pPr>
    </w:p>
    <w:p w14:paraId="71E08C8E">
      <w:pPr>
        <w:spacing w:line="480" w:lineRule="auto"/>
        <w:jc w:val="left"/>
        <w:rPr>
          <w:rFonts w:hint="default" w:ascii="Times New Roman" w:hAnsi="Times New Roman" w:cs="Times New Roman"/>
          <w:b w:val="0"/>
          <w:bCs w:val="0"/>
          <w:color w:val="auto"/>
          <w:lang w:val="en-US"/>
        </w:rPr>
      </w:pPr>
    </w:p>
    <w:p w14:paraId="2DA1F709">
      <w:pPr>
        <w:spacing w:line="480" w:lineRule="auto"/>
        <w:jc w:val="center"/>
        <w:rPr>
          <w:rFonts w:hint="default" w:ascii="Times New Roman Bold" w:hAnsi="Times New Roman Bold" w:cs="Times New Roman Bold"/>
          <w:b/>
          <w:bCs/>
          <w:color w:val="auto"/>
          <w:lang w:val="en-US" w:eastAsia="zh-CN"/>
        </w:rPr>
      </w:pPr>
      <w:r>
        <w:rPr>
          <w:rFonts w:hint="default" w:ascii="Times New Roman Bold" w:hAnsi="Times New Roman Bold" w:cs="Times New Roman Bold"/>
          <w:b/>
          <w:bCs/>
          <w:color w:val="auto"/>
          <w:lang w:val="en-US" w:eastAsia="zh-CN"/>
        </w:rPr>
        <w:t>Data Analysis</w:t>
      </w:r>
    </w:p>
    <w:p w14:paraId="4679298E">
      <w:pPr>
        <w:spacing w:line="480" w:lineRule="auto"/>
        <w:jc w:val="left"/>
        <w:rPr>
          <w:rFonts w:hint="default" w:ascii="Times New Roman Bold" w:hAnsi="Times New Roman Bold" w:cs="Times New Roman Bold"/>
          <w:b w:val="0"/>
          <w:bCs w:val="0"/>
          <w:color w:val="auto"/>
          <w:lang w:val="en-US" w:eastAsia="zh-CN"/>
        </w:rPr>
      </w:pPr>
      <w:r>
        <w:rPr>
          <w:rFonts w:hint="default" w:ascii="Times New Roman Bold" w:hAnsi="Times New Roman Bold" w:cs="Times New Roman Bold"/>
          <w:b w:val="0"/>
          <w:bCs w:val="0"/>
          <w:color w:val="auto"/>
          <w:lang w:val="en-US" w:eastAsia="zh-CN"/>
        </w:rPr>
        <w:t>Quantitative Analysis</w:t>
      </w:r>
    </w:p>
    <w:p w14:paraId="4D15E17A">
      <w:pPr>
        <w:spacing w:line="480" w:lineRule="auto"/>
        <w:jc w:val="left"/>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Survey responses were analyzed using descriptive statistics and simple correlation analysis. Frequencies and percentages were used to identify common consumer motivations and purchasing patterns. Correlation analysis was also used to examine relationships between variables such as social media exposure, emotional attachment, fear of missing out (FOMO), and repeated purchasing behavior.</w:t>
      </w:r>
    </w:p>
    <w:p w14:paraId="7850BD6D">
      <w:pPr>
        <w:spacing w:line="480" w:lineRule="auto"/>
        <w:jc w:val="left"/>
        <w:rPr>
          <w:rFonts w:hint="default" w:ascii="Times New Roman Bold" w:hAnsi="Times New Roman Bold" w:cs="Times New Roman Bold"/>
          <w:b w:val="0"/>
          <w:bCs w:val="0"/>
          <w:color w:val="auto"/>
          <w:lang w:val="en-US" w:eastAsia="zh-CN"/>
        </w:rPr>
      </w:pPr>
    </w:p>
    <w:p w14:paraId="6487933E">
      <w:pPr>
        <w:spacing w:line="480" w:lineRule="auto"/>
        <w:jc w:val="left"/>
        <w:rPr>
          <w:rFonts w:hint="default" w:ascii="Times New Roman Bold" w:hAnsi="Times New Roman Bold" w:cs="Times New Roman Bold"/>
          <w:b w:val="0"/>
          <w:bCs w:val="0"/>
          <w:color w:val="auto"/>
          <w:lang w:val="en-US" w:eastAsia="zh-CN"/>
        </w:rPr>
      </w:pPr>
      <w:r>
        <w:rPr>
          <w:rFonts w:hint="default" w:ascii="Times New Roman Bold" w:hAnsi="Times New Roman Bold" w:cs="Times New Roman Bold"/>
          <w:b w:val="0"/>
          <w:bCs w:val="0"/>
          <w:color w:val="auto"/>
          <w:lang w:val="en-US" w:eastAsia="zh-CN"/>
        </w:rPr>
        <w:t>Qualitative Analysis</w:t>
      </w:r>
    </w:p>
    <w:p w14:paraId="0AF0BB24">
      <w:pPr>
        <w:spacing w:line="480" w:lineRule="auto"/>
        <w:jc w:val="left"/>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Interview transcripts were analyzed using thematic analysis. Responses were grouped into recurring themes including emotional comfort, identity expression, online community belonging, and scarcity-driven desire. This process helped identify how participants emotionally interpreted their experiences with Labubu and how social media influenced their purchasing decisions.</w:t>
      </w:r>
    </w:p>
    <w:p w14:paraId="22FA33E5">
      <w:pPr>
        <w:spacing w:line="480" w:lineRule="auto"/>
        <w:jc w:val="left"/>
        <w:rPr>
          <w:rFonts w:hint="default" w:ascii="Times New Roman Bold" w:hAnsi="Times New Roman Bold" w:cs="Times New Roman Bold"/>
          <w:b w:val="0"/>
          <w:bCs w:val="0"/>
          <w:color w:val="auto"/>
          <w:lang w:val="en-US" w:eastAsia="zh-CN"/>
        </w:rPr>
      </w:pPr>
    </w:p>
    <w:p w14:paraId="1A860C36">
      <w:pPr>
        <w:spacing w:line="480" w:lineRule="auto"/>
        <w:jc w:val="left"/>
        <w:rPr>
          <w:rFonts w:hint="default" w:ascii="Times New Roman Bold" w:hAnsi="Times New Roman Bold" w:cs="Times New Roman Bold"/>
          <w:b w:val="0"/>
          <w:bCs w:val="0"/>
          <w:color w:val="auto"/>
          <w:lang w:val="en-US" w:eastAsia="zh-CN"/>
        </w:rPr>
      </w:pPr>
      <w:r>
        <w:rPr>
          <w:rFonts w:hint="default" w:ascii="Times New Roman Bold" w:hAnsi="Times New Roman Bold" w:cs="Times New Roman Bold"/>
          <w:b w:val="0"/>
          <w:bCs w:val="0"/>
          <w:color w:val="auto"/>
          <w:lang w:val="en-US" w:eastAsia="zh-CN"/>
        </w:rPr>
        <w:t>Ethical Considerations</w:t>
      </w:r>
    </w:p>
    <w:p w14:paraId="26C5B014">
      <w:pPr>
        <w:spacing w:line="480" w:lineRule="auto"/>
        <w:jc w:val="left"/>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All participants provided informed consent before participating in the study. Participation remained voluntary and anonymous, and no identifiable personal information was collected. Participants were informed that they could withdraw from the study at any time.</w:t>
      </w:r>
    </w:p>
    <w:p w14:paraId="180DC02A">
      <w:pPr>
        <w:spacing w:line="480" w:lineRule="auto"/>
        <w:jc w:val="left"/>
        <w:rPr>
          <w:rFonts w:hint="default" w:ascii="Times New Roman" w:hAnsi="Times New Roman" w:cs="Times New Roman"/>
          <w:b w:val="0"/>
          <w:bCs w:val="0"/>
          <w:color w:val="auto"/>
          <w:lang w:val="en-US"/>
        </w:rPr>
      </w:pPr>
    </w:p>
    <w:p w14:paraId="4C724A61">
      <w:pPr>
        <w:spacing w:line="480" w:lineRule="auto"/>
        <w:jc w:val="left"/>
        <w:rPr>
          <w:rFonts w:hint="default" w:ascii="Times New Roman" w:hAnsi="Times New Roman" w:cs="Times New Roman"/>
          <w:b w:val="0"/>
          <w:bCs w:val="0"/>
          <w:color w:val="auto"/>
          <w:lang w:val="en-US"/>
        </w:rPr>
      </w:pPr>
    </w:p>
    <w:p w14:paraId="1862D59E">
      <w:pPr>
        <w:spacing w:line="480" w:lineRule="auto"/>
        <w:jc w:val="left"/>
        <w:rPr>
          <w:rFonts w:hint="default" w:ascii="Times New Roman" w:hAnsi="Times New Roman" w:cs="Times New Roman"/>
          <w:b w:val="0"/>
          <w:bCs w:val="0"/>
          <w:color w:val="auto"/>
          <w:lang w:val="en-US"/>
        </w:rPr>
      </w:pPr>
    </w:p>
    <w:p w14:paraId="69508BD7">
      <w:pPr>
        <w:spacing w:line="480" w:lineRule="auto"/>
        <w:jc w:val="left"/>
        <w:rPr>
          <w:rFonts w:hint="default" w:ascii="Times New Roman" w:hAnsi="Times New Roman" w:cs="Times New Roman"/>
          <w:b w:val="0"/>
          <w:bCs w:val="0"/>
          <w:color w:val="auto"/>
          <w:lang w:val="en-US"/>
        </w:rPr>
      </w:pPr>
    </w:p>
    <w:p w14:paraId="23263FC1">
      <w:pPr>
        <w:spacing w:line="480" w:lineRule="auto"/>
        <w:jc w:val="left"/>
        <w:rPr>
          <w:rFonts w:hint="default" w:ascii="Times New Roman" w:hAnsi="Times New Roman" w:cs="Times New Roman"/>
          <w:b w:val="0"/>
          <w:bCs w:val="0"/>
          <w:color w:val="auto"/>
          <w:lang w:val="en-US"/>
        </w:rPr>
      </w:pPr>
    </w:p>
    <w:p w14:paraId="64A55A33">
      <w:pPr>
        <w:spacing w:line="480" w:lineRule="auto"/>
        <w:jc w:val="left"/>
        <w:rPr>
          <w:rFonts w:hint="default" w:ascii="Times New Roman" w:hAnsi="Times New Roman" w:cs="Times New Roman"/>
          <w:b w:val="0"/>
          <w:bCs w:val="0"/>
          <w:color w:val="auto"/>
          <w:lang w:val="en-US"/>
        </w:rPr>
      </w:pPr>
    </w:p>
    <w:p w14:paraId="7CD21BBB">
      <w:pPr>
        <w:spacing w:line="480" w:lineRule="auto"/>
        <w:jc w:val="left"/>
        <w:rPr>
          <w:rFonts w:hint="default" w:ascii="Times New Roman" w:hAnsi="Times New Roman" w:cs="Times New Roman"/>
          <w:b w:val="0"/>
          <w:bCs w:val="0"/>
          <w:color w:val="auto"/>
          <w:lang w:val="en-US"/>
        </w:rPr>
      </w:pPr>
    </w:p>
    <w:p w14:paraId="359102B6">
      <w:pPr>
        <w:spacing w:line="480" w:lineRule="auto"/>
        <w:jc w:val="left"/>
        <w:rPr>
          <w:rFonts w:hint="default" w:ascii="Times New Roman" w:hAnsi="Times New Roman" w:cs="Times New Roman"/>
          <w:b w:val="0"/>
          <w:bCs w:val="0"/>
          <w:color w:val="auto"/>
          <w:lang w:val="en-US"/>
        </w:rPr>
      </w:pPr>
    </w:p>
    <w:p w14:paraId="455D15ED">
      <w:pPr>
        <w:spacing w:line="480" w:lineRule="auto"/>
        <w:jc w:val="left"/>
        <w:rPr>
          <w:rFonts w:hint="default" w:ascii="Times New Roman" w:hAnsi="Times New Roman" w:cs="Times New Roman"/>
          <w:b w:val="0"/>
          <w:bCs w:val="0"/>
          <w:color w:val="auto"/>
          <w:lang w:val="en-US"/>
        </w:rPr>
      </w:pPr>
    </w:p>
    <w:p w14:paraId="075DBF24">
      <w:pPr>
        <w:spacing w:line="480" w:lineRule="auto"/>
        <w:jc w:val="left"/>
        <w:rPr>
          <w:rFonts w:hint="default" w:ascii="Times New Roman" w:hAnsi="Times New Roman" w:cs="Times New Roman"/>
          <w:b w:val="0"/>
          <w:bCs w:val="0"/>
          <w:color w:val="auto"/>
          <w:lang w:val="en-US"/>
        </w:rPr>
      </w:pPr>
    </w:p>
    <w:p w14:paraId="3BA2ED83">
      <w:pPr>
        <w:spacing w:line="480" w:lineRule="auto"/>
        <w:jc w:val="left"/>
        <w:rPr>
          <w:rFonts w:hint="default" w:ascii="Times New Roman" w:hAnsi="Times New Roman" w:cs="Times New Roman"/>
          <w:b w:val="0"/>
          <w:bCs w:val="0"/>
          <w:color w:val="auto"/>
          <w:lang w:val="en-US"/>
        </w:rPr>
      </w:pPr>
    </w:p>
    <w:p w14:paraId="7E9C79A4">
      <w:pPr>
        <w:spacing w:line="480" w:lineRule="auto"/>
        <w:jc w:val="left"/>
        <w:rPr>
          <w:rFonts w:hint="default" w:ascii="Times New Roman" w:hAnsi="Times New Roman" w:cs="Times New Roman"/>
          <w:b w:val="0"/>
          <w:bCs w:val="0"/>
          <w:color w:val="auto"/>
          <w:lang w:val="en-US"/>
        </w:rPr>
      </w:pPr>
    </w:p>
    <w:p w14:paraId="6836FB74">
      <w:pPr>
        <w:spacing w:line="480" w:lineRule="auto"/>
        <w:jc w:val="center"/>
        <w:rPr>
          <w:rFonts w:hint="default" w:ascii="Times New Roman Bold" w:hAnsi="Times New Roman Bold" w:cs="Times New Roman Bold"/>
          <w:b/>
          <w:bCs/>
          <w:color w:val="auto"/>
          <w:lang w:val="en-US"/>
        </w:rPr>
      </w:pPr>
      <w:r>
        <w:rPr>
          <w:rFonts w:hint="default" w:ascii="Times New Roman Bold" w:hAnsi="Times New Roman Bold" w:cs="Times New Roman Bold"/>
          <w:b/>
          <w:bCs/>
          <w:color w:val="auto"/>
          <w:lang w:val="en-US"/>
        </w:rPr>
        <w:t>Results</w:t>
      </w:r>
    </w:p>
    <w:p w14:paraId="03A64FCE">
      <w:pPr>
        <w:spacing w:line="480" w:lineRule="auto"/>
        <w:jc w:val="left"/>
        <w:rPr>
          <w:rFonts w:hint="default" w:ascii="Times New Roman Bold" w:hAnsi="Times New Roman Bold" w:cs="Times New Roman Bold"/>
          <w:b w:val="0"/>
          <w:bCs w:val="0"/>
          <w:color w:val="auto"/>
          <w:lang w:val="en-US"/>
        </w:rPr>
      </w:pPr>
      <w:r>
        <w:rPr>
          <w:rFonts w:hint="default" w:ascii="Times New Roman Bold" w:hAnsi="Times New Roman Bold" w:cs="Times New Roman Bold"/>
          <w:b w:val="0"/>
          <w:bCs w:val="0"/>
          <w:color w:val="auto"/>
          <w:lang w:val="en-US"/>
        </w:rPr>
        <w:t>Result 1: Emotional Attachment Is the Strongest Motivation Behind Repeated Purchases</w:t>
      </w:r>
    </w:p>
    <w:p w14:paraId="560268D6">
      <w:pPr>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Survey findings indicate that emotional attachment plays a major role in repeated Labubu consumption. Among the 128 respondents, 74% reported that they purchased Labubu products because they provided emotional comfort or happiness. Furthermore, 69% agreed with the statement that collecting Labubu helped reduce stress or improve mood.</w:t>
      </w:r>
    </w:p>
    <w:p w14:paraId="37A88F30">
      <w:pPr>
        <w:spacing w:line="480" w:lineRule="auto"/>
        <w:jc w:val="left"/>
        <w:rPr>
          <w:rFonts w:hint="default" w:ascii="Times New Roman" w:hAnsi="Times New Roman" w:cs="Times New Roman"/>
          <w:b w:val="0"/>
          <w:bCs w:val="0"/>
          <w:color w:val="auto"/>
          <w:lang w:val="en-US"/>
        </w:rPr>
      </w:pPr>
    </w:p>
    <w:p w14:paraId="7130FD96">
      <w:pPr>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Interview participants repeatedly described Labubu using emotional language such as “comforting,” “cute,” “healing,” and “emotionally supportive.” One participant explained:</w:t>
      </w:r>
    </w:p>
    <w:p w14:paraId="6F8F307E">
      <w:pPr>
        <w:spacing w:line="480" w:lineRule="auto"/>
        <w:jc w:val="left"/>
        <w:rPr>
          <w:rFonts w:hint="default" w:ascii="Times New Roman" w:hAnsi="Times New Roman" w:cs="Times New Roman"/>
          <w:b w:val="0"/>
          <w:bCs w:val="0"/>
          <w:color w:val="auto"/>
          <w:lang w:val="en-US"/>
        </w:rPr>
      </w:pPr>
    </w:p>
    <w:p w14:paraId="4D7FE441">
      <w:pPr>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“When I buy Labubu, it feels like rewarding myself after stress. It’s not really about money anymore.”</w:t>
      </w:r>
    </w:p>
    <w:p w14:paraId="01A43A1F">
      <w:pPr>
        <w:spacing w:line="480" w:lineRule="auto"/>
        <w:jc w:val="left"/>
        <w:rPr>
          <w:rFonts w:hint="default" w:ascii="Times New Roman" w:hAnsi="Times New Roman" w:cs="Times New Roman"/>
          <w:b w:val="0"/>
          <w:bCs w:val="0"/>
          <w:color w:val="auto"/>
          <w:lang w:val="en-US"/>
        </w:rPr>
      </w:pPr>
    </w:p>
    <w:p w14:paraId="0499D677">
      <w:pPr>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Another participant stated that displaying Labubu collections made them feel emotionally secure and connected to others with similar interests.</w:t>
      </w:r>
    </w:p>
    <w:p w14:paraId="1C14F3A1">
      <w:pPr>
        <w:spacing w:line="480" w:lineRule="auto"/>
        <w:jc w:val="left"/>
        <w:rPr>
          <w:rFonts w:hint="default" w:ascii="Times New Roman" w:hAnsi="Times New Roman" w:cs="Times New Roman"/>
          <w:b w:val="0"/>
          <w:bCs w:val="0"/>
          <w:color w:val="auto"/>
          <w:lang w:val="en-US"/>
        </w:rPr>
      </w:pPr>
    </w:p>
    <w:p w14:paraId="59B23FD4">
      <w:pPr>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These findings suggest that Labubu functions as more than a physical commodity. Instead, it operates as a form of emotional consumption in which products provide psychological comfort and identity reinforcement.</w:t>
      </w:r>
    </w:p>
    <w:p w14:paraId="432764D3">
      <w:pPr>
        <w:spacing w:line="480" w:lineRule="auto"/>
        <w:jc w:val="left"/>
        <w:rPr>
          <w:rFonts w:hint="default" w:ascii="Times New Roman" w:hAnsi="Times New Roman" w:cs="Times New Roman"/>
          <w:b w:val="0"/>
          <w:bCs w:val="0"/>
          <w:color w:val="auto"/>
          <w:lang w:val="en-US"/>
        </w:rPr>
      </w:pPr>
    </w:p>
    <w:p w14:paraId="456BF94C">
      <w:pPr>
        <w:spacing w:line="480" w:lineRule="auto"/>
        <w:jc w:val="left"/>
        <w:rPr>
          <w:rFonts w:hint="default" w:ascii="Times New Roman Bold" w:hAnsi="Times New Roman Bold" w:cs="Times New Roman Bold"/>
          <w:b w:val="0"/>
          <w:bCs w:val="0"/>
          <w:color w:val="auto"/>
          <w:lang w:val="en-US"/>
        </w:rPr>
      </w:pPr>
      <w:r>
        <w:rPr>
          <w:rFonts w:hint="default" w:ascii="Times New Roman Bold" w:hAnsi="Times New Roman Bold" w:cs="Times New Roman Bold"/>
          <w:b w:val="0"/>
          <w:bCs w:val="0"/>
          <w:color w:val="auto"/>
          <w:lang w:val="en-US"/>
        </w:rPr>
        <w:t>Result 2: Social Media Visibility Intensifies Consumer Desire</w:t>
      </w:r>
    </w:p>
    <w:p w14:paraId="3B8D8D72">
      <w:pPr>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The survey also revealed a strong relationship between social media exposure and purchasing behavior. Approximately 81% of respondents stated that they first became interested in Labubu after repeatedly seeing related content online. Additionally, 72% reported feeling increased desire to purchase products after watching unboxing videos or collection posts.</w:t>
      </w:r>
    </w:p>
    <w:p w14:paraId="7058ABE6">
      <w:pPr>
        <w:spacing w:line="480" w:lineRule="auto"/>
        <w:jc w:val="left"/>
        <w:rPr>
          <w:rFonts w:hint="default" w:ascii="Times New Roman" w:hAnsi="Times New Roman" w:cs="Times New Roman"/>
          <w:b w:val="0"/>
          <w:bCs w:val="0"/>
          <w:color w:val="auto"/>
          <w:lang w:val="en-US"/>
        </w:rPr>
      </w:pPr>
    </w:p>
    <w:p w14:paraId="071CCB78">
      <w:pPr>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Interview participants frequently referenced Xiaohongshu and TikTok as major influences on their consumption habits. Several participants explained that viral videos and “rare pull” posts created feelings of urgency and excitement.</w:t>
      </w:r>
    </w:p>
    <w:p w14:paraId="48E06F66">
      <w:pPr>
        <w:spacing w:line="480" w:lineRule="auto"/>
        <w:jc w:val="left"/>
        <w:rPr>
          <w:rFonts w:hint="default" w:ascii="Times New Roman" w:hAnsi="Times New Roman" w:cs="Times New Roman"/>
          <w:b w:val="0"/>
          <w:bCs w:val="0"/>
          <w:color w:val="auto"/>
          <w:lang w:val="en-US"/>
        </w:rPr>
      </w:pPr>
    </w:p>
    <w:p w14:paraId="0C0803EB">
      <w:pPr>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One participant commented:“Even if I didn’t originally plan to buy one, after seeing everyone post their collections online, I felt like I also wanted to participate.” Marketing analysis further demonstrated that Pop Mart strategically uses scarcity and timed releases to generate online discussion. Limited-edition drops consistently produced spikes in social media engagement and resale activity.</w:t>
      </w:r>
    </w:p>
    <w:p w14:paraId="141E5197">
      <w:pPr>
        <w:spacing w:line="480" w:lineRule="auto"/>
        <w:jc w:val="left"/>
        <w:rPr>
          <w:rFonts w:hint="default" w:ascii="Times New Roman" w:hAnsi="Times New Roman" w:cs="Times New Roman"/>
          <w:b w:val="0"/>
          <w:bCs w:val="0"/>
          <w:color w:val="auto"/>
          <w:lang w:val="en-US"/>
        </w:rPr>
      </w:pPr>
    </w:p>
    <w:p w14:paraId="57BAB1B7">
      <w:pPr>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These findings support the idea that attention economy mechanisms convert online visibility into emotional desire and purchasing behavior.</w:t>
      </w:r>
    </w:p>
    <w:p w14:paraId="1FA72374">
      <w:pPr>
        <w:spacing w:line="480" w:lineRule="auto"/>
        <w:jc w:val="left"/>
        <w:rPr>
          <w:rFonts w:hint="default" w:ascii="Times New Roman" w:hAnsi="Times New Roman" w:cs="Times New Roman"/>
          <w:b w:val="0"/>
          <w:bCs w:val="0"/>
          <w:color w:val="auto"/>
          <w:lang w:val="en-US"/>
        </w:rPr>
      </w:pPr>
    </w:p>
    <w:p w14:paraId="23131E80">
      <w:pPr>
        <w:spacing w:line="480" w:lineRule="auto"/>
        <w:jc w:val="left"/>
        <w:rPr>
          <w:rFonts w:hint="default" w:ascii="Times New Roman" w:hAnsi="Times New Roman" w:cs="Times New Roman"/>
          <w:b w:val="0"/>
          <w:bCs w:val="0"/>
          <w:color w:val="auto"/>
          <w:lang w:val="en-US"/>
        </w:rPr>
      </w:pPr>
    </w:p>
    <w:p w14:paraId="79A9E36E">
      <w:pPr>
        <w:spacing w:line="480" w:lineRule="auto"/>
        <w:jc w:val="left"/>
        <w:rPr>
          <w:rFonts w:hint="default" w:ascii="Times New Roman" w:hAnsi="Times New Roman" w:cs="Times New Roman"/>
          <w:b w:val="0"/>
          <w:bCs w:val="0"/>
          <w:color w:val="auto"/>
          <w:lang w:val="en-US"/>
        </w:rPr>
      </w:pPr>
    </w:p>
    <w:p w14:paraId="79F9C92B">
      <w:pPr>
        <w:spacing w:line="480" w:lineRule="auto"/>
        <w:jc w:val="left"/>
        <w:rPr>
          <w:rFonts w:hint="default" w:ascii="Times New Roman" w:hAnsi="Times New Roman" w:cs="Times New Roman"/>
          <w:b w:val="0"/>
          <w:bCs w:val="0"/>
          <w:color w:val="auto"/>
          <w:lang w:val="en-US"/>
        </w:rPr>
      </w:pPr>
    </w:p>
    <w:p w14:paraId="38822024">
      <w:pPr>
        <w:spacing w:line="480" w:lineRule="auto"/>
        <w:jc w:val="left"/>
        <w:rPr>
          <w:rFonts w:hint="default" w:ascii="Times New Roman" w:hAnsi="Times New Roman" w:cs="Times New Roman"/>
          <w:b w:val="0"/>
          <w:bCs w:val="0"/>
          <w:color w:val="auto"/>
          <w:lang w:val="en-US"/>
        </w:rPr>
      </w:pPr>
    </w:p>
    <w:p w14:paraId="1ED8A164">
      <w:pPr>
        <w:spacing w:line="480" w:lineRule="auto"/>
        <w:jc w:val="left"/>
        <w:rPr>
          <w:rFonts w:hint="default" w:ascii="Times New Roman" w:hAnsi="Times New Roman" w:cs="Times New Roman"/>
          <w:b w:val="0"/>
          <w:bCs w:val="0"/>
          <w:color w:val="auto"/>
          <w:lang w:val="en-US"/>
        </w:rPr>
      </w:pPr>
    </w:p>
    <w:p w14:paraId="2E440810">
      <w:pPr>
        <w:spacing w:line="480" w:lineRule="auto"/>
        <w:jc w:val="center"/>
        <w:rPr>
          <w:rFonts w:hint="default" w:ascii="Times New Roman Bold" w:hAnsi="Times New Roman Bold" w:cs="Times New Roman Bold"/>
          <w:b/>
          <w:bCs/>
          <w:color w:val="auto"/>
          <w:lang w:val="en-US"/>
        </w:rPr>
      </w:pPr>
      <w:r>
        <w:rPr>
          <w:rFonts w:hint="default" w:ascii="Times New Roman Bold" w:hAnsi="Times New Roman Bold" w:cs="Times New Roman Bold"/>
          <w:b/>
          <w:bCs/>
          <w:color w:val="auto"/>
          <w:lang w:val="en-US"/>
        </w:rPr>
        <w:t>Discussion</w:t>
      </w:r>
    </w:p>
    <w:p w14:paraId="11079A16">
      <w:pPr>
        <w:spacing w:line="480" w:lineRule="auto"/>
        <w:jc w:val="left"/>
        <w:rPr>
          <w:rFonts w:hint="default" w:ascii="Times New Roman Bold" w:hAnsi="Times New Roman Bold" w:cs="Times New Roman Bold"/>
          <w:b w:val="0"/>
          <w:bCs w:val="0"/>
          <w:color w:val="auto"/>
          <w:lang w:val="en-US"/>
        </w:rPr>
      </w:pPr>
      <w:r>
        <w:rPr>
          <w:rFonts w:hint="default" w:ascii="Times New Roman Bold" w:hAnsi="Times New Roman Bold" w:cs="Times New Roman Bold"/>
          <w:b w:val="0"/>
          <w:bCs w:val="0"/>
          <w:color w:val="auto"/>
          <w:lang w:val="en-US"/>
        </w:rPr>
        <w:t>Emotional Consumption and the Redefinition of Luxury</w:t>
      </w:r>
    </w:p>
    <w:p w14:paraId="6346B465">
      <w:pPr>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The findings suggest that New Luxury in China differs significantly from traditional Western luxury models. Rather than emphasizing material superiority, craftsmanship, or elite social status, Labubu consumption is primarily driven by emotional fulfillment, symbolic identity, and digital participation. This supports Hennigs et al.’s (2012) argument that contemporary luxury increasingly depends on emotional and experiential value rather than purely financial value.</w:t>
      </w:r>
    </w:p>
    <w:p w14:paraId="14B1AEE9">
      <w:pPr>
        <w:spacing w:line="480" w:lineRule="auto"/>
        <w:jc w:val="left"/>
        <w:rPr>
          <w:rFonts w:hint="default" w:ascii="Times New Roman" w:hAnsi="Times New Roman" w:cs="Times New Roman"/>
          <w:b w:val="0"/>
          <w:bCs w:val="0"/>
          <w:color w:val="auto"/>
          <w:lang w:val="en-US"/>
        </w:rPr>
      </w:pPr>
    </w:p>
    <w:p w14:paraId="685C62D5">
      <w:pPr>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Participants consistently described Labubu using emotional language such as “comforting,” “healing,” and “rewarding,” suggesting that emotional satisfaction is central to the purchasing experience. For many respondents, purchasing Labubu functioned as a way to relieve stress, improve mood, or create small moments of happiness within daily life. This reflects a broader shift in consumer culture in which products are valued not only for practical function but also for their emotional meaning.</w:t>
      </w:r>
    </w:p>
    <w:p w14:paraId="57D5BEEF">
      <w:pPr>
        <w:spacing w:line="480" w:lineRule="auto"/>
        <w:jc w:val="left"/>
        <w:rPr>
          <w:rFonts w:hint="default" w:ascii="Times New Roman" w:hAnsi="Times New Roman" w:cs="Times New Roman"/>
          <w:b w:val="0"/>
          <w:bCs w:val="0"/>
          <w:color w:val="auto"/>
          <w:lang w:val="en-US"/>
        </w:rPr>
      </w:pPr>
    </w:p>
    <w:p w14:paraId="3B32BA66">
      <w:pPr>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Furthermore, the findings challenge traditional economic assumptions about luxury consumption during periods of financial uncertainty. Classical economic theory generally predicts that luxury spending should decline during economic downturns because consumers become more cautious with discretionary spending. However, many participants explained that Labubu products felt relatively accessible compared to traditional luxury goods while still providing emotional satisfaction and symbolic value.</w:t>
      </w:r>
    </w:p>
    <w:p w14:paraId="7CA2F078">
      <w:pPr>
        <w:spacing w:line="480" w:lineRule="auto"/>
        <w:jc w:val="left"/>
        <w:rPr>
          <w:rFonts w:hint="default" w:ascii="Times New Roman" w:hAnsi="Times New Roman" w:cs="Times New Roman"/>
          <w:b w:val="0"/>
          <w:bCs w:val="0"/>
          <w:color w:val="auto"/>
          <w:lang w:val="en-US"/>
        </w:rPr>
      </w:pPr>
    </w:p>
    <w:p w14:paraId="1D4CB699">
      <w:pPr>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This suggests that New Luxury products occupy a unique position between ordinary consumption and traditional luxury. Consumers may not purchase them to demonstrate wealth but instead to seek emotional comfort, identity reinforcement, and a sense of belonging. In this way, New Luxury can be understood as a form of emotionally symbolic consumption shaped by digital culture and contemporary social pressure.</w:t>
      </w:r>
    </w:p>
    <w:p w14:paraId="48BE1B83">
      <w:pPr>
        <w:spacing w:line="480" w:lineRule="auto"/>
        <w:jc w:val="left"/>
        <w:rPr>
          <w:rFonts w:hint="default" w:ascii="Times New Roman Bold" w:hAnsi="Times New Roman Bold" w:cs="Times New Roman Bold"/>
          <w:b w:val="0"/>
          <w:bCs w:val="0"/>
          <w:color w:val="auto"/>
          <w:lang w:val="en-US"/>
        </w:rPr>
      </w:pPr>
    </w:p>
    <w:p w14:paraId="4124D88F">
      <w:pPr>
        <w:spacing w:line="480" w:lineRule="auto"/>
        <w:jc w:val="left"/>
        <w:rPr>
          <w:rFonts w:hint="default" w:ascii="Times New Roman Bold" w:hAnsi="Times New Roman Bold" w:cs="Times New Roman Bold"/>
          <w:b w:val="0"/>
          <w:bCs w:val="0"/>
          <w:color w:val="auto"/>
          <w:lang w:val="en-US"/>
        </w:rPr>
      </w:pPr>
      <w:r>
        <w:rPr>
          <w:rFonts w:hint="default" w:ascii="Times New Roman Bold" w:hAnsi="Times New Roman Bold" w:cs="Times New Roman Bold"/>
          <w:b w:val="0"/>
          <w:bCs w:val="0"/>
          <w:color w:val="auto"/>
          <w:lang w:val="en-US"/>
        </w:rPr>
        <w:t>The Role of Social Media in Constructing Desire</w:t>
      </w:r>
    </w:p>
    <w:p w14:paraId="3658C7A7">
      <w:pPr>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The results also demonstrate the significant role of social media in shaping consumer desire and maintaining Labubu’s popularity. Most participants reported that repeated exposure to Labubu-related content on Xiaohongshu, TikTok, and Weibo increased their desire to purchase products. This finding strongly supports theories of the attention economy proposed by Davenport and Beck (2001) and Franck (2019), both of whom argue that visibility itself creates value in digital environments.</w:t>
      </w:r>
    </w:p>
    <w:p w14:paraId="4865832D">
      <w:pPr>
        <w:spacing w:line="480" w:lineRule="auto"/>
        <w:jc w:val="left"/>
        <w:rPr>
          <w:rFonts w:hint="default" w:ascii="Times New Roman" w:hAnsi="Times New Roman" w:cs="Times New Roman"/>
          <w:b w:val="0"/>
          <w:bCs w:val="0"/>
          <w:color w:val="auto"/>
          <w:lang w:val="en-US"/>
        </w:rPr>
      </w:pPr>
    </w:p>
    <w:p w14:paraId="264CD323">
      <w:pPr>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On social media platforms, Labubu constantly appears through unboxing videos, collection displays, rare-item reveals, and resale discussions. This continuous circulation increases visibility and makes the product appear culturally important and socially desirable. Participants frequently explained that seeing others post their collections created feelings of curiosity, excitement, and pressure to participate.</w:t>
      </w:r>
    </w:p>
    <w:p w14:paraId="024873CD">
      <w:pPr>
        <w:spacing w:line="480" w:lineRule="auto"/>
        <w:jc w:val="left"/>
        <w:rPr>
          <w:rFonts w:hint="default" w:ascii="Times New Roman" w:hAnsi="Times New Roman" w:cs="Times New Roman"/>
          <w:b w:val="0"/>
          <w:bCs w:val="0"/>
          <w:color w:val="auto"/>
          <w:lang w:val="en-US"/>
        </w:rPr>
      </w:pPr>
    </w:p>
    <w:p w14:paraId="66465C19">
      <w:pPr>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In addition, social media participation transforms consumption into a collective social experience rather than an individual purchasing decision. Consumers are not only buying a product; they are joining a digital community with shared rituals, language, aesthetics, and emotional experiences. Several interview participants mentioned that posting Labubu content online made them feel connected to others with similar interests.</w:t>
      </w:r>
    </w:p>
    <w:p w14:paraId="001B4426">
      <w:pPr>
        <w:spacing w:line="480" w:lineRule="auto"/>
        <w:jc w:val="left"/>
        <w:rPr>
          <w:rFonts w:hint="default" w:ascii="Times New Roman" w:hAnsi="Times New Roman" w:cs="Times New Roman"/>
          <w:b w:val="0"/>
          <w:bCs w:val="0"/>
          <w:color w:val="auto"/>
          <w:lang w:val="en-US"/>
        </w:rPr>
      </w:pPr>
    </w:p>
    <w:p w14:paraId="19BFB3D0">
      <w:pPr>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This reflects how social media platforms function simultaneously as marketing channels and emotional spaces. Instead of relying only on traditional advertising, Pop Mart benefits from user-generated content and peer-to-peer circulation. Consumers themselves become promoters of the product through sharing, posting, and displaying their collections online.</w:t>
      </w:r>
    </w:p>
    <w:p w14:paraId="3DABEC5F">
      <w:pPr>
        <w:spacing w:line="480" w:lineRule="auto"/>
        <w:jc w:val="left"/>
        <w:rPr>
          <w:rFonts w:hint="default" w:ascii="Times New Roman" w:hAnsi="Times New Roman" w:cs="Times New Roman"/>
          <w:b w:val="0"/>
          <w:bCs w:val="0"/>
          <w:color w:val="auto"/>
          <w:lang w:val="en-US"/>
        </w:rPr>
      </w:pPr>
    </w:p>
    <w:p w14:paraId="1C742487">
      <w:pPr>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The findings therefore suggest that social media platforms actively construct consumer desire by combining emotional storytelling, online visibility, and community participation. Desire is no longer created solely by the product itself but also by the digital environment surrounding it.</w:t>
      </w:r>
    </w:p>
    <w:p w14:paraId="73D0F772">
      <w:pPr>
        <w:spacing w:line="480" w:lineRule="auto"/>
        <w:jc w:val="left"/>
        <w:rPr>
          <w:rFonts w:hint="default" w:ascii="Times New Roman" w:hAnsi="Times New Roman" w:cs="Times New Roman"/>
          <w:b w:val="0"/>
          <w:bCs w:val="0"/>
          <w:color w:val="auto"/>
          <w:lang w:val="en-US"/>
        </w:rPr>
      </w:pPr>
    </w:p>
    <w:p w14:paraId="65098794">
      <w:pPr>
        <w:spacing w:line="480" w:lineRule="auto"/>
        <w:jc w:val="left"/>
        <w:rPr>
          <w:rFonts w:hint="default" w:ascii="Times New Roman Bold" w:hAnsi="Times New Roman Bold" w:cs="Times New Roman Bold"/>
          <w:b w:val="0"/>
          <w:bCs w:val="0"/>
          <w:color w:val="auto"/>
          <w:lang w:val="en-US"/>
        </w:rPr>
      </w:pPr>
      <w:r>
        <w:rPr>
          <w:rFonts w:hint="default" w:ascii="Times New Roman Bold" w:hAnsi="Times New Roman Bold" w:cs="Times New Roman Bold"/>
          <w:b w:val="0"/>
          <w:bCs w:val="0"/>
          <w:color w:val="auto"/>
          <w:lang w:val="en-US"/>
        </w:rPr>
        <w:t>Scarcity, FOMO, and Psychological Motivation</w:t>
      </w:r>
    </w:p>
    <w:p w14:paraId="7030C84E">
      <w:pPr>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Another important finding involves the psychological effects of scarcity and fear of missing out (FOMO). Participants frequently mentioned limited-edition releases, rare items, and blind-box uncertainty as major reasons for repeated purchases.</w:t>
      </w:r>
    </w:p>
    <w:p w14:paraId="5FD06A59">
      <w:pPr>
        <w:spacing w:line="480" w:lineRule="auto"/>
        <w:jc w:val="left"/>
        <w:rPr>
          <w:rFonts w:hint="default" w:ascii="Times New Roman" w:hAnsi="Times New Roman" w:cs="Times New Roman"/>
          <w:b w:val="0"/>
          <w:bCs w:val="0"/>
          <w:color w:val="auto"/>
          <w:lang w:val="en-US"/>
        </w:rPr>
      </w:pPr>
    </w:p>
    <w:p w14:paraId="5DEF1F02">
      <w:pPr>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The blind-box mechanism creates excitement because consumers cannot predict which figure they will receive. This uncertainty encourages emotional anticipation and repeated purchasing behavior. Many participants explained that obtaining rare figures created feelings of achievement and satisfaction, while missing limited releases created disappointment and regret.</w:t>
      </w:r>
    </w:p>
    <w:p w14:paraId="752F882E">
      <w:pPr>
        <w:spacing w:line="480" w:lineRule="auto"/>
        <w:jc w:val="left"/>
        <w:rPr>
          <w:rFonts w:hint="default" w:ascii="Times New Roman" w:hAnsi="Times New Roman" w:cs="Times New Roman"/>
          <w:b w:val="0"/>
          <w:bCs w:val="0"/>
          <w:color w:val="auto"/>
          <w:lang w:val="en-US"/>
        </w:rPr>
      </w:pPr>
    </w:p>
    <w:p w14:paraId="6AFF977C">
      <w:pPr>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Social media further intensifies this process because users constantly compare their collections and experiences with others online. Seeing influencers or friends obtain rare items increases perceived scarcity and encourages additional purchases. As a result, scarcity functions not only as an economic strategy but also as a psychological trigger.</w:t>
      </w:r>
    </w:p>
    <w:p w14:paraId="64E4991B">
      <w:pPr>
        <w:spacing w:line="480" w:lineRule="auto"/>
        <w:jc w:val="left"/>
        <w:rPr>
          <w:rFonts w:hint="default" w:ascii="Times New Roman" w:hAnsi="Times New Roman" w:cs="Times New Roman"/>
          <w:b w:val="0"/>
          <w:bCs w:val="0"/>
          <w:color w:val="auto"/>
          <w:lang w:val="en-US"/>
        </w:rPr>
      </w:pPr>
    </w:p>
    <w:p w14:paraId="6BACCBCA">
      <w:pPr>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The findings suggest that FOMO plays a major role in sustaining New Luxury consumption. Consumers often continue purchasing products not simply because they need them but because they fear losing participation in trending cultural conversations or online communities.</w:t>
      </w:r>
    </w:p>
    <w:p w14:paraId="50F37DDD">
      <w:pPr>
        <w:spacing w:line="480" w:lineRule="auto"/>
        <w:jc w:val="left"/>
        <w:rPr>
          <w:rFonts w:hint="default" w:ascii="Times New Roman" w:hAnsi="Times New Roman" w:cs="Times New Roman"/>
          <w:b w:val="0"/>
          <w:bCs w:val="0"/>
          <w:color w:val="auto"/>
          <w:lang w:val="en-US"/>
        </w:rPr>
      </w:pPr>
    </w:p>
    <w:p w14:paraId="1DE6BE02">
      <w:pPr>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This pattern reflects broader characteristics of digital consumer culture in which visibility, immediacy, and emotional engagement strongly influence decision-making. In many cases, emotional urgency becomes more important than practical necessity.</w:t>
      </w:r>
    </w:p>
    <w:p w14:paraId="45A2C9F1">
      <w:pPr>
        <w:spacing w:line="480" w:lineRule="auto"/>
        <w:jc w:val="left"/>
        <w:rPr>
          <w:rFonts w:hint="default" w:ascii="Times New Roman Bold" w:hAnsi="Times New Roman Bold" w:cs="Times New Roman Bold"/>
          <w:b w:val="0"/>
          <w:bCs w:val="0"/>
          <w:color w:val="auto"/>
          <w:lang w:val="en-US"/>
        </w:rPr>
      </w:pPr>
    </w:p>
    <w:p w14:paraId="41513E74">
      <w:pPr>
        <w:spacing w:line="480" w:lineRule="auto"/>
        <w:jc w:val="left"/>
        <w:rPr>
          <w:rFonts w:hint="default" w:ascii="Times New Roman Bold" w:hAnsi="Times New Roman Bold" w:cs="Times New Roman Bold"/>
          <w:b w:val="0"/>
          <w:bCs w:val="0"/>
          <w:color w:val="auto"/>
          <w:lang w:val="en-US"/>
        </w:rPr>
      </w:pPr>
      <w:r>
        <w:rPr>
          <w:rFonts w:hint="default" w:ascii="Times New Roman Bold" w:hAnsi="Times New Roman Bold" w:cs="Times New Roman Bold"/>
          <w:b w:val="0"/>
          <w:bCs w:val="0"/>
          <w:color w:val="auto"/>
          <w:lang w:val="en-US"/>
        </w:rPr>
        <w:t>Implications</w:t>
      </w:r>
    </w:p>
    <w:p w14:paraId="1C811C9E">
      <w:pPr>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The findings have several broader implications for understanding youth consumer culture and digital marketing.</w:t>
      </w:r>
    </w:p>
    <w:p w14:paraId="5A917485">
      <w:pPr>
        <w:spacing w:line="480" w:lineRule="auto"/>
        <w:jc w:val="left"/>
        <w:rPr>
          <w:rFonts w:hint="default" w:ascii="Times New Roman" w:hAnsi="Times New Roman" w:cs="Times New Roman"/>
          <w:b w:val="0"/>
          <w:bCs w:val="0"/>
          <w:color w:val="auto"/>
          <w:lang w:val="en-US"/>
        </w:rPr>
      </w:pPr>
    </w:p>
    <w:p w14:paraId="50693BF7">
      <w:pPr>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First, the study suggests that future luxury brands may increasingly rely on emotional storytelling and community participation rather than traditional status signaling. Emotional resonance appears especially important for younger consumers who spend significant time within digital environments.</w:t>
      </w:r>
    </w:p>
    <w:p w14:paraId="725565C0">
      <w:pPr>
        <w:spacing w:line="480" w:lineRule="auto"/>
        <w:jc w:val="left"/>
        <w:rPr>
          <w:rFonts w:hint="default" w:ascii="Times New Roman" w:hAnsi="Times New Roman" w:cs="Times New Roman"/>
          <w:b w:val="0"/>
          <w:bCs w:val="0"/>
          <w:color w:val="auto"/>
          <w:lang w:val="en-US"/>
        </w:rPr>
      </w:pPr>
    </w:p>
    <w:p w14:paraId="0BE33E87">
      <w:pPr>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Second, the research highlights how social media platforms shape consumption behaviors by transforming visibility into perceived value. This demonstrates the growing power of platform-based marketing strategies and user-generated promotion.</w:t>
      </w:r>
    </w:p>
    <w:p w14:paraId="1B8B6379">
      <w:pPr>
        <w:spacing w:line="480" w:lineRule="auto"/>
        <w:jc w:val="left"/>
        <w:rPr>
          <w:rFonts w:hint="default" w:ascii="Times New Roman" w:hAnsi="Times New Roman" w:cs="Times New Roman"/>
          <w:b w:val="0"/>
          <w:bCs w:val="0"/>
          <w:color w:val="auto"/>
          <w:lang w:val="en-US"/>
        </w:rPr>
      </w:pPr>
    </w:p>
    <w:p w14:paraId="29987BDE">
      <w:pPr>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Third, the findings raise questions about the psychological effects of scarcity culture and constant digital comparison. While many participants described collecting Labubu as emotionally enjoyable, some also acknowledged impulsive purchasing habits and pressure created by online trends.</w:t>
      </w:r>
    </w:p>
    <w:p w14:paraId="203810A3">
      <w:pPr>
        <w:spacing w:line="480" w:lineRule="auto"/>
        <w:jc w:val="left"/>
        <w:rPr>
          <w:rFonts w:hint="default" w:ascii="Times New Roman" w:hAnsi="Times New Roman" w:cs="Times New Roman"/>
          <w:b w:val="0"/>
          <w:bCs w:val="0"/>
          <w:color w:val="auto"/>
          <w:lang w:val="en-US"/>
        </w:rPr>
      </w:pPr>
    </w:p>
    <w:p w14:paraId="5C92DBFF">
      <w:pPr>
        <w:spacing w:line="480" w:lineRule="auto"/>
        <w:jc w:val="left"/>
        <w:rPr>
          <w:rFonts w:hint="default" w:ascii="Times New Roman Bold" w:hAnsi="Times New Roman Bold" w:cs="Times New Roman Bold"/>
          <w:b w:val="0"/>
          <w:bCs w:val="0"/>
          <w:color w:val="auto"/>
          <w:lang w:val="en-US"/>
        </w:rPr>
      </w:pPr>
      <w:r>
        <w:rPr>
          <w:rFonts w:hint="default" w:ascii="Times New Roman" w:hAnsi="Times New Roman" w:cs="Times New Roman"/>
          <w:b w:val="0"/>
          <w:bCs w:val="0"/>
          <w:color w:val="auto"/>
          <w:lang w:val="en-US"/>
        </w:rPr>
        <w:t>Therefore, New Luxury reflects both positive and negative dimensions of contemporary digital culture: it creates emotional connection and community belonging while also encouraging compulsive consumption and comparison-driven behavior.</w:t>
      </w:r>
    </w:p>
    <w:p w14:paraId="6A1F1D3C">
      <w:pPr>
        <w:spacing w:line="480" w:lineRule="auto"/>
        <w:jc w:val="left"/>
        <w:rPr>
          <w:rFonts w:hint="default" w:ascii="Times New Roman Bold" w:hAnsi="Times New Roman Bold" w:cs="Times New Roman Bold"/>
          <w:b w:val="0"/>
          <w:bCs w:val="0"/>
          <w:color w:val="auto"/>
          <w:lang w:val="en-US"/>
        </w:rPr>
      </w:pPr>
      <w:r>
        <w:rPr>
          <w:rFonts w:hint="default" w:ascii="Times New Roman Bold" w:hAnsi="Times New Roman Bold" w:cs="Times New Roman Bold"/>
          <w:b w:val="0"/>
          <w:bCs w:val="0"/>
          <w:color w:val="auto"/>
          <w:lang w:val="en-US"/>
        </w:rPr>
        <w:t>Limitations</w:t>
      </w:r>
    </w:p>
    <w:p w14:paraId="79A2F67F">
      <w:pPr>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Several limitations should be acknowledged.</w:t>
      </w:r>
    </w:p>
    <w:p w14:paraId="122B3187">
      <w:pPr>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First, the sample size was relatively limited and focused mainly on younger Chinese consumers, meaning the findings may not fully represent other demographic groups. Second, because much of the data relied on self-reported survey responses, some participants may have understated or exaggerated their motivations.</w:t>
      </w:r>
    </w:p>
    <w:p w14:paraId="1DCEE57D">
      <w:pPr>
        <w:spacing w:line="480" w:lineRule="auto"/>
        <w:jc w:val="left"/>
        <w:rPr>
          <w:rFonts w:hint="default" w:ascii="Times New Roman" w:hAnsi="Times New Roman" w:cs="Times New Roman"/>
          <w:b w:val="0"/>
          <w:bCs w:val="0"/>
          <w:color w:val="auto"/>
          <w:lang w:val="en-US"/>
        </w:rPr>
      </w:pPr>
    </w:p>
    <w:p w14:paraId="784885E4">
      <w:pPr>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Additionally, digital trends change rapidly, and online consumer culture continues evolving over time. Future research could therefore compare Labubu with other collectible communities or examine how New Luxury develops across different countries and age groups.</w:t>
      </w:r>
    </w:p>
    <w:p w14:paraId="7256ECC1">
      <w:pPr>
        <w:spacing w:line="480" w:lineRule="auto"/>
        <w:jc w:val="left"/>
        <w:rPr>
          <w:rFonts w:hint="default" w:ascii="Times New Roman" w:hAnsi="Times New Roman" w:cs="Times New Roman"/>
          <w:b w:val="0"/>
          <w:bCs w:val="0"/>
          <w:color w:val="auto"/>
          <w:lang w:val="en-US"/>
        </w:rPr>
      </w:pPr>
    </w:p>
    <w:p w14:paraId="7153B81F">
      <w:pPr>
        <w:spacing w:line="480" w:lineRule="auto"/>
        <w:jc w:val="left"/>
        <w:rPr>
          <w:rFonts w:hint="default" w:ascii="Times New Roman" w:hAnsi="Times New Roman" w:cs="Times New Roman"/>
          <w:b w:val="0"/>
          <w:bCs w:val="0"/>
          <w:color w:val="auto"/>
          <w:lang w:val="en-US"/>
        </w:rPr>
      </w:pPr>
      <w:r>
        <w:rPr>
          <w:rFonts w:hint="default" w:ascii="Times New Roman" w:hAnsi="Times New Roman" w:cs="Times New Roman"/>
          <w:b w:val="0"/>
          <w:bCs w:val="0"/>
          <w:color w:val="auto"/>
          <w:lang w:val="en-US"/>
        </w:rPr>
        <w:t>Despite these limitations, the study provides important insight into how emotional value, social media participation, and the attention economy interact within contemporary Chinese consumer culture.</w:t>
      </w:r>
    </w:p>
    <w:p w14:paraId="62E1B82E">
      <w:pPr>
        <w:spacing w:line="480" w:lineRule="auto"/>
        <w:jc w:val="left"/>
        <w:rPr>
          <w:rFonts w:hint="default" w:ascii="Times New Roman" w:hAnsi="Times New Roman" w:cs="Times New Roman"/>
          <w:b w:val="0"/>
          <w:bCs w:val="0"/>
          <w:color w:val="auto"/>
          <w:lang w:val="en-US"/>
        </w:rPr>
      </w:pPr>
    </w:p>
    <w:p w14:paraId="6C86C306">
      <w:pPr>
        <w:spacing w:line="480" w:lineRule="auto"/>
        <w:jc w:val="center"/>
        <w:rPr>
          <w:rFonts w:hint="default" w:ascii="Times New Roman Bold" w:hAnsi="Times New Roman Bold" w:cs="Times New Roman Bold"/>
          <w:b/>
          <w:bCs/>
          <w:color w:val="auto"/>
          <w:lang w:val="en-US" w:eastAsia="zh-CN"/>
        </w:rPr>
      </w:pPr>
      <w:r>
        <w:rPr>
          <w:rFonts w:hint="default" w:ascii="Times New Roman Bold" w:hAnsi="Times New Roman Bold" w:cs="Times New Roman Bold"/>
          <w:b/>
          <w:bCs/>
          <w:color w:val="auto"/>
          <w:lang w:val="en-US" w:eastAsia="zh-CN"/>
        </w:rPr>
        <w:t>Conclusion</w:t>
      </w:r>
    </w:p>
    <w:p w14:paraId="332498E8">
      <w:pPr>
        <w:spacing w:line="480" w:lineRule="auto"/>
        <w:jc w:val="left"/>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This study examined the rise of Labubu as a representative example of New Luxury in China and explored how emotional value, social media visibility, and online community participation shape consumer behavior.</w:t>
      </w:r>
    </w:p>
    <w:p w14:paraId="796654E8">
      <w:pPr>
        <w:spacing w:line="480" w:lineRule="auto"/>
        <w:jc w:val="left"/>
        <w:rPr>
          <w:rFonts w:hint="default" w:ascii="Times New Roman" w:hAnsi="Times New Roman" w:cs="Times New Roman"/>
          <w:b w:val="0"/>
          <w:bCs w:val="0"/>
          <w:color w:val="auto"/>
          <w:lang w:val="en-US" w:eastAsia="zh-CN"/>
        </w:rPr>
      </w:pPr>
    </w:p>
    <w:p w14:paraId="4CF81B46">
      <w:pPr>
        <w:spacing w:line="480" w:lineRule="auto"/>
        <w:jc w:val="left"/>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The findings demonstrate that repeated Labubu consumption is driven primarily by emotional comfort, identity expression, and community belonging rather than material functionality. Social media platforms intensify these motivations by transforming visibility into desire through online rituals, scarcity culture, and attention economy mechanisms.</w:t>
      </w:r>
    </w:p>
    <w:p w14:paraId="0D0EDE09">
      <w:pPr>
        <w:spacing w:line="480" w:lineRule="auto"/>
        <w:jc w:val="left"/>
        <w:rPr>
          <w:rFonts w:hint="default" w:ascii="Times New Roman" w:hAnsi="Times New Roman" w:cs="Times New Roman"/>
          <w:b w:val="0"/>
          <w:bCs w:val="0"/>
          <w:color w:val="auto"/>
          <w:lang w:val="en-US" w:eastAsia="zh-CN"/>
        </w:rPr>
      </w:pPr>
    </w:p>
    <w:p w14:paraId="2B728CDB">
      <w:pPr>
        <w:spacing w:line="480" w:lineRule="auto"/>
        <w:jc w:val="left"/>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Consequently, New Luxury in China represents a significant shift away from traditional Western luxury models. Luxury is increasingly defined not by economic exclusivity but by emotional resonance, symbolic meaning, and digital participation.</w:t>
      </w:r>
    </w:p>
    <w:p w14:paraId="1A5D76C0">
      <w:pPr>
        <w:spacing w:line="480" w:lineRule="auto"/>
        <w:jc w:val="left"/>
        <w:rPr>
          <w:rFonts w:hint="default" w:ascii="Times New Roman" w:hAnsi="Times New Roman" w:cs="Times New Roman"/>
          <w:b w:val="0"/>
          <w:bCs w:val="0"/>
          <w:color w:val="auto"/>
          <w:lang w:val="en-US" w:eastAsia="zh-CN"/>
        </w:rPr>
      </w:pPr>
    </w:p>
    <w:p w14:paraId="33E6D27A">
      <w:pPr>
        <w:spacing w:line="480" w:lineRule="auto"/>
        <w:jc w:val="left"/>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This research contributes to existing discussions surrounding luxury consumption, attention economy, and youth culture by proposing a culturally specific framework rooted in China’s digital ecosystem. It also highlights how brands successfully construct emotionally resilient consumer communities through social media storytelling and scarcity-driven engagement.</w:t>
      </w:r>
    </w:p>
    <w:p w14:paraId="260D42C9">
      <w:pPr>
        <w:spacing w:line="480" w:lineRule="auto"/>
        <w:jc w:val="left"/>
        <w:rPr>
          <w:rFonts w:hint="default" w:ascii="Times New Roman" w:hAnsi="Times New Roman" w:cs="Times New Roman"/>
          <w:b w:val="0"/>
          <w:bCs w:val="0"/>
          <w:color w:val="auto"/>
          <w:lang w:val="en-US" w:eastAsia="zh-CN"/>
        </w:rPr>
      </w:pPr>
    </w:p>
    <w:p w14:paraId="7E2393E6">
      <w:pPr>
        <w:spacing w:line="480" w:lineRule="auto"/>
        <w:jc w:val="left"/>
        <w:rPr>
          <w:rFonts w:hint="default" w:ascii="Times New Roman" w:hAnsi="Times New Roman" w:cs="Times New Roman"/>
          <w:b w:val="0"/>
          <w:bCs w:val="0"/>
          <w:color w:val="auto"/>
          <w:lang w:val="en-US" w:eastAsia="zh-CN"/>
        </w:rPr>
      </w:pPr>
      <w:r>
        <w:rPr>
          <w:rFonts w:hint="default" w:ascii="Times New Roman" w:hAnsi="Times New Roman" w:cs="Times New Roman"/>
          <w:b w:val="0"/>
          <w:bCs w:val="0"/>
          <w:color w:val="auto"/>
          <w:lang w:val="en-US" w:eastAsia="zh-CN"/>
        </w:rPr>
        <w:t>As digital culture continues evolving, emotionally driven and community-based consumption will likely play an increasingly important role in shaping future consumer behavior.</w:t>
      </w:r>
    </w:p>
    <w:p w14:paraId="72432C91">
      <w:pPr>
        <w:spacing w:line="480" w:lineRule="auto"/>
        <w:jc w:val="left"/>
        <w:rPr>
          <w:rFonts w:hint="default" w:ascii="Times New Roman" w:hAnsi="Times New Roman" w:cs="Times New Roman"/>
          <w:b w:val="0"/>
          <w:bCs w:val="0"/>
          <w:color w:val="auto"/>
          <w:lang w:val="en-US"/>
        </w:rPr>
      </w:pPr>
    </w:p>
    <w:p w14:paraId="66F4BAC3">
      <w:pPr>
        <w:spacing w:line="480" w:lineRule="auto"/>
        <w:jc w:val="left"/>
        <w:rPr>
          <w:rFonts w:hint="default" w:ascii="Times New Roman" w:hAnsi="Times New Roman" w:cs="Times New Roman"/>
          <w:b w:val="0"/>
          <w:bCs w:val="0"/>
          <w:color w:val="auto"/>
          <w:lang w:val="en-US"/>
        </w:rPr>
      </w:pPr>
    </w:p>
    <w:p w14:paraId="59C6811C">
      <w:pPr>
        <w:spacing w:line="480" w:lineRule="auto"/>
        <w:jc w:val="left"/>
        <w:rPr>
          <w:rFonts w:hint="default" w:ascii="Times New Roman" w:hAnsi="Times New Roman" w:cs="Times New Roman"/>
          <w:b w:val="0"/>
          <w:bCs w:val="0"/>
          <w:color w:val="auto"/>
          <w:lang w:val="en-US"/>
        </w:rPr>
      </w:pPr>
    </w:p>
    <w:p w14:paraId="64FAF60A">
      <w:pPr>
        <w:spacing w:line="480" w:lineRule="auto"/>
        <w:jc w:val="left"/>
        <w:rPr>
          <w:rFonts w:hint="default" w:ascii="Times New Roman" w:hAnsi="Times New Roman" w:cs="Times New Roman"/>
          <w:b w:val="0"/>
          <w:bCs w:val="0"/>
          <w:color w:val="auto"/>
          <w:lang w:val="en-US"/>
        </w:rPr>
      </w:pPr>
    </w:p>
    <w:p w14:paraId="0EA7D657">
      <w:pPr>
        <w:spacing w:line="480" w:lineRule="auto"/>
        <w:jc w:val="left"/>
        <w:rPr>
          <w:rFonts w:hint="default" w:ascii="Times New Roman" w:hAnsi="Times New Roman" w:cs="Times New Roman"/>
          <w:b w:val="0"/>
          <w:bCs w:val="0"/>
          <w:color w:val="auto"/>
          <w:lang w:val="en-US"/>
        </w:rPr>
      </w:pPr>
    </w:p>
    <w:p w14:paraId="45158E77">
      <w:pPr>
        <w:spacing w:line="480" w:lineRule="auto"/>
        <w:jc w:val="left"/>
        <w:rPr>
          <w:rFonts w:hint="default" w:ascii="Times New Roman" w:hAnsi="Times New Roman" w:cs="Times New Roman"/>
          <w:b w:val="0"/>
          <w:bCs w:val="0"/>
          <w:color w:val="auto"/>
          <w:lang w:val="en-US"/>
        </w:rPr>
      </w:pPr>
    </w:p>
    <w:p w14:paraId="7E4F0738">
      <w:pPr>
        <w:spacing w:line="480" w:lineRule="auto"/>
        <w:jc w:val="left"/>
        <w:rPr>
          <w:rFonts w:hint="default" w:ascii="Times New Roman" w:hAnsi="Times New Roman" w:cs="Times New Roman"/>
          <w:b w:val="0"/>
          <w:bCs w:val="0"/>
          <w:color w:val="auto"/>
          <w:lang w:val="en-US"/>
        </w:rPr>
      </w:pPr>
    </w:p>
    <w:p w14:paraId="515EB0AC">
      <w:pPr>
        <w:spacing w:line="480" w:lineRule="auto"/>
        <w:jc w:val="left"/>
        <w:rPr>
          <w:rFonts w:hint="default" w:ascii="Times New Roman" w:hAnsi="Times New Roman" w:cs="Times New Roman"/>
          <w:b w:val="0"/>
          <w:bCs w:val="0"/>
          <w:color w:val="auto"/>
          <w:lang w:val="en-US"/>
        </w:rPr>
      </w:pPr>
    </w:p>
    <w:p w14:paraId="5AE41475">
      <w:pPr>
        <w:spacing w:line="480" w:lineRule="auto"/>
        <w:jc w:val="center"/>
        <w:rPr>
          <w:rFonts w:ascii="Times New Roman" w:hAnsi="Times New Roman" w:cs="Times New Roman"/>
          <w:b/>
          <w:bCs/>
          <w:color w:val="auto"/>
        </w:rPr>
      </w:pPr>
      <w:r>
        <w:rPr>
          <w:rFonts w:ascii="Times New Roman" w:hAnsi="Times New Roman" w:cs="Times New Roman"/>
          <w:b/>
          <w:bCs/>
          <w:color w:val="auto"/>
        </w:rPr>
        <w:t>Reference</w:t>
      </w:r>
    </w:p>
    <w:p w14:paraId="24F247C8">
      <w:pPr>
        <w:keepNext w:val="0"/>
        <w:keepLines w:val="0"/>
        <w:pageBreakBefore w:val="0"/>
        <w:widowControl w:val="0"/>
        <w:kinsoku/>
        <w:wordWrap/>
        <w:overflowPunct/>
        <w:topLinePunct w:val="0"/>
        <w:autoSpaceDE/>
        <w:autoSpaceDN/>
        <w:bidi w:val="0"/>
        <w:adjustRightInd/>
        <w:snapToGrid/>
        <w:spacing w:line="480" w:lineRule="auto"/>
        <w:ind w:left="480" w:leftChars="0" w:hanging="480" w:hangingChars="200"/>
        <w:textAlignment w:val="auto"/>
        <w:rPr>
          <w:rFonts w:hint="eastAsia" w:ascii="Times New Roman" w:hAnsi="Times New Roman" w:cs="Times New Roman"/>
          <w:color w:val="auto"/>
        </w:rPr>
      </w:pPr>
      <w:r>
        <w:rPr>
          <w:rFonts w:hint="eastAsia" w:ascii="Times New Roman" w:hAnsi="Times New Roman" w:cs="Times New Roman"/>
          <w:color w:val="auto"/>
        </w:rPr>
        <w:t>Akbari, M., Seydavi, M., Palmieri, S., Mansueto, G., Caselli, G., &amp; Spada, M. M. (2021). Fear of missing out (FoMO) and internet use: A comprehensive systematic review and meta-analysis. Journal of Behavioral Addictions, 10(4), 879-900.</w:t>
      </w:r>
    </w:p>
    <w:p w14:paraId="02AEBB6F">
      <w:pPr>
        <w:keepNext w:val="0"/>
        <w:keepLines w:val="0"/>
        <w:pageBreakBefore w:val="0"/>
        <w:widowControl w:val="0"/>
        <w:kinsoku/>
        <w:wordWrap/>
        <w:overflowPunct/>
        <w:topLinePunct w:val="0"/>
        <w:autoSpaceDE/>
        <w:autoSpaceDN/>
        <w:bidi w:val="0"/>
        <w:adjustRightInd/>
        <w:snapToGrid/>
        <w:spacing w:line="480" w:lineRule="auto"/>
        <w:ind w:left="480" w:leftChars="0" w:hanging="480" w:hangingChars="200"/>
        <w:textAlignment w:val="auto"/>
        <w:rPr>
          <w:rFonts w:hint="eastAsia" w:ascii="Times New Roman" w:hAnsi="Times New Roman" w:cs="Times New Roman"/>
          <w:color w:val="auto"/>
        </w:rPr>
      </w:pPr>
      <w:r>
        <w:rPr>
          <w:rFonts w:hint="eastAsia" w:ascii="Times New Roman" w:hAnsi="Times New Roman" w:cs="Times New Roman"/>
          <w:color w:val="auto"/>
        </w:rPr>
        <w:t>Athwal, N., Wells, V. K., Carrigan, M., &amp; Henninger, C. E. (2019). Sustainable luxury marketing: A synthesis and research agenda. International Journal of Management Reviews, 21(4), 405-426.</w:t>
      </w:r>
    </w:p>
    <w:p w14:paraId="65F40377">
      <w:pPr>
        <w:keepNext w:val="0"/>
        <w:keepLines w:val="0"/>
        <w:pageBreakBefore w:val="0"/>
        <w:widowControl w:val="0"/>
        <w:kinsoku/>
        <w:wordWrap/>
        <w:overflowPunct/>
        <w:topLinePunct w:val="0"/>
        <w:autoSpaceDE/>
        <w:autoSpaceDN/>
        <w:bidi w:val="0"/>
        <w:adjustRightInd/>
        <w:snapToGrid/>
        <w:spacing w:line="480" w:lineRule="auto"/>
        <w:ind w:left="480" w:leftChars="0" w:hanging="480" w:hangingChars="200"/>
        <w:textAlignment w:val="auto"/>
        <w:rPr>
          <w:rFonts w:hint="eastAsia" w:ascii="Times New Roman" w:hAnsi="Times New Roman" w:cs="Times New Roman"/>
          <w:color w:val="auto"/>
        </w:rPr>
      </w:pPr>
      <w:r>
        <w:rPr>
          <w:rFonts w:hint="eastAsia" w:ascii="Times New Roman" w:hAnsi="Times New Roman" w:cs="Times New Roman"/>
          <w:color w:val="auto"/>
        </w:rPr>
        <w:t>Creevey, D., Coughlan, J., &amp; O'Connor, C. (2022). Social media and luxury: A systematic literature review. International Journal of Management Reviews, 24(1), 99-129.</w:t>
      </w:r>
    </w:p>
    <w:p w14:paraId="666E2455">
      <w:pPr>
        <w:keepNext w:val="0"/>
        <w:keepLines w:val="0"/>
        <w:pageBreakBefore w:val="0"/>
        <w:widowControl w:val="0"/>
        <w:kinsoku/>
        <w:wordWrap/>
        <w:overflowPunct/>
        <w:topLinePunct w:val="0"/>
        <w:autoSpaceDE/>
        <w:autoSpaceDN/>
        <w:bidi w:val="0"/>
        <w:adjustRightInd/>
        <w:snapToGrid/>
        <w:spacing w:line="480" w:lineRule="auto"/>
        <w:ind w:left="480" w:leftChars="0" w:hanging="480" w:hangingChars="200"/>
        <w:textAlignment w:val="auto"/>
        <w:rPr>
          <w:rFonts w:hint="eastAsia" w:ascii="Times New Roman" w:hAnsi="Times New Roman" w:cs="Times New Roman"/>
          <w:color w:val="auto"/>
        </w:rPr>
      </w:pPr>
      <w:r>
        <w:rPr>
          <w:rFonts w:hint="eastAsia" w:ascii="Times New Roman" w:hAnsi="Times New Roman" w:cs="Times New Roman"/>
          <w:color w:val="auto"/>
        </w:rPr>
        <w:t>Davenport, T. H., &amp; Beck, J. C. (2001). The attention economy. Ubiquity, 2001(May), 1-es.</w:t>
      </w:r>
    </w:p>
    <w:p w14:paraId="4EBD94EF">
      <w:pPr>
        <w:keepNext w:val="0"/>
        <w:keepLines w:val="0"/>
        <w:pageBreakBefore w:val="0"/>
        <w:widowControl w:val="0"/>
        <w:kinsoku/>
        <w:wordWrap/>
        <w:overflowPunct/>
        <w:topLinePunct w:val="0"/>
        <w:autoSpaceDE/>
        <w:autoSpaceDN/>
        <w:bidi w:val="0"/>
        <w:adjustRightInd/>
        <w:snapToGrid/>
        <w:spacing w:line="480" w:lineRule="auto"/>
        <w:ind w:left="480" w:leftChars="0" w:hanging="480" w:hangingChars="200"/>
        <w:textAlignment w:val="auto"/>
        <w:rPr>
          <w:rFonts w:hint="eastAsia" w:ascii="Times New Roman" w:hAnsi="Times New Roman" w:cs="Times New Roman"/>
          <w:color w:val="auto"/>
        </w:rPr>
      </w:pPr>
      <w:r>
        <w:rPr>
          <w:rFonts w:hint="eastAsia" w:ascii="Times New Roman" w:hAnsi="Times New Roman" w:cs="Times New Roman"/>
          <w:color w:val="auto"/>
        </w:rPr>
        <w:t>Dwivedi, Y. K., Kapoor, K. K., &amp; Chen, H. (2015). Social media marketing and advertising. The Marketing Review, 15(3), 289-309.</w:t>
      </w:r>
    </w:p>
    <w:p w14:paraId="28BDEB84">
      <w:pPr>
        <w:keepNext w:val="0"/>
        <w:keepLines w:val="0"/>
        <w:pageBreakBefore w:val="0"/>
        <w:widowControl w:val="0"/>
        <w:kinsoku/>
        <w:wordWrap/>
        <w:overflowPunct/>
        <w:topLinePunct w:val="0"/>
        <w:autoSpaceDE/>
        <w:autoSpaceDN/>
        <w:bidi w:val="0"/>
        <w:adjustRightInd/>
        <w:snapToGrid/>
        <w:spacing w:line="480" w:lineRule="auto"/>
        <w:ind w:left="480" w:leftChars="0" w:hanging="480" w:hangingChars="200"/>
        <w:textAlignment w:val="auto"/>
        <w:rPr>
          <w:rFonts w:hint="eastAsia" w:ascii="Times New Roman" w:hAnsi="Times New Roman" w:cs="Times New Roman"/>
          <w:color w:val="auto"/>
        </w:rPr>
      </w:pPr>
      <w:r>
        <w:rPr>
          <w:rFonts w:hint="eastAsia" w:ascii="Times New Roman" w:hAnsi="Times New Roman" w:cs="Times New Roman"/>
          <w:color w:val="auto"/>
        </w:rPr>
        <w:t>Franck, G. (2019). The economy of attention. Journal of sociology, 55(1), 8-19.</w:t>
      </w:r>
    </w:p>
    <w:p w14:paraId="39A3B717">
      <w:pPr>
        <w:keepNext w:val="0"/>
        <w:keepLines w:val="0"/>
        <w:pageBreakBefore w:val="0"/>
        <w:widowControl w:val="0"/>
        <w:kinsoku/>
        <w:wordWrap/>
        <w:overflowPunct/>
        <w:topLinePunct w:val="0"/>
        <w:autoSpaceDE/>
        <w:autoSpaceDN/>
        <w:bidi w:val="0"/>
        <w:adjustRightInd/>
        <w:snapToGrid/>
        <w:spacing w:line="480" w:lineRule="auto"/>
        <w:ind w:left="480" w:leftChars="0" w:hanging="480" w:hangingChars="200"/>
        <w:textAlignment w:val="auto"/>
        <w:rPr>
          <w:rFonts w:hint="eastAsia" w:ascii="Times New Roman" w:hAnsi="Times New Roman" w:cs="Times New Roman"/>
          <w:color w:val="auto"/>
        </w:rPr>
      </w:pPr>
      <w:r>
        <w:rPr>
          <w:rFonts w:hint="eastAsia" w:ascii="Times New Roman" w:hAnsi="Times New Roman" w:cs="Times New Roman"/>
          <w:color w:val="auto"/>
        </w:rPr>
        <w:t>Godey, B., Manthiou, A., Pederzoli, D., Rokka, J., Aiello, G., Donvito, R., &amp; Singh, R. (2016). Social media marketing efforts of luxury brands: Influence on brand equity and consumer behavior. Journal of business research, 69(12), 5833-5841.</w:t>
      </w:r>
    </w:p>
    <w:p w14:paraId="569782C4">
      <w:pPr>
        <w:keepNext w:val="0"/>
        <w:keepLines w:val="0"/>
        <w:pageBreakBefore w:val="0"/>
        <w:widowControl w:val="0"/>
        <w:kinsoku/>
        <w:wordWrap/>
        <w:overflowPunct/>
        <w:topLinePunct w:val="0"/>
        <w:autoSpaceDE/>
        <w:autoSpaceDN/>
        <w:bidi w:val="0"/>
        <w:adjustRightInd/>
        <w:snapToGrid/>
        <w:spacing w:line="480" w:lineRule="auto"/>
        <w:ind w:left="480" w:leftChars="0" w:hanging="480" w:hangingChars="200"/>
        <w:textAlignment w:val="auto"/>
        <w:rPr>
          <w:rFonts w:hint="eastAsia" w:ascii="Times New Roman" w:hAnsi="Times New Roman" w:cs="Times New Roman"/>
          <w:color w:val="auto"/>
        </w:rPr>
      </w:pPr>
      <w:r>
        <w:rPr>
          <w:rFonts w:hint="eastAsia" w:ascii="Times New Roman" w:hAnsi="Times New Roman" w:cs="Times New Roman"/>
          <w:color w:val="auto"/>
        </w:rPr>
        <w:t>Hennigs, N., Wiedmann, K. P., Klarmann, C., Strehlau, S., Godey, B., Pederzoli, D., ... &amp; Oh, H. (2012). What is the value of luxury? A cross‐cultural consumer perspective. Psychology &amp; Marketing, 29(12), 1018-1034.</w:t>
      </w:r>
    </w:p>
    <w:p w14:paraId="531A36C5">
      <w:pPr>
        <w:keepNext w:val="0"/>
        <w:keepLines w:val="0"/>
        <w:pageBreakBefore w:val="0"/>
        <w:widowControl w:val="0"/>
        <w:kinsoku/>
        <w:wordWrap/>
        <w:overflowPunct/>
        <w:topLinePunct w:val="0"/>
        <w:autoSpaceDE/>
        <w:autoSpaceDN/>
        <w:bidi w:val="0"/>
        <w:adjustRightInd/>
        <w:snapToGrid/>
        <w:spacing w:line="480" w:lineRule="auto"/>
        <w:ind w:left="480" w:leftChars="0" w:hanging="480" w:hangingChars="200"/>
        <w:textAlignment w:val="auto"/>
        <w:rPr>
          <w:rFonts w:hint="eastAsia" w:ascii="Times New Roman" w:hAnsi="Times New Roman" w:cs="Times New Roman"/>
          <w:color w:val="auto"/>
        </w:rPr>
      </w:pPr>
      <w:r>
        <w:rPr>
          <w:rFonts w:hint="eastAsia" w:ascii="Times New Roman" w:hAnsi="Times New Roman" w:cs="Times New Roman"/>
          <w:color w:val="auto"/>
        </w:rPr>
        <w:t>Marwick, A. E. (2015). Instafame: Luxury selfies in the attention economy. Public culture, 27(1), 137-160.</w:t>
      </w:r>
    </w:p>
    <w:p w14:paraId="7329CD5E">
      <w:pPr>
        <w:keepNext w:val="0"/>
        <w:keepLines w:val="0"/>
        <w:pageBreakBefore w:val="0"/>
        <w:widowControl w:val="0"/>
        <w:kinsoku/>
        <w:wordWrap/>
        <w:overflowPunct/>
        <w:topLinePunct w:val="0"/>
        <w:autoSpaceDE/>
        <w:autoSpaceDN/>
        <w:bidi w:val="0"/>
        <w:adjustRightInd/>
        <w:snapToGrid/>
        <w:spacing w:line="480" w:lineRule="auto"/>
        <w:ind w:left="480" w:leftChars="0" w:hanging="480" w:hangingChars="200"/>
        <w:textAlignment w:val="auto"/>
        <w:rPr>
          <w:rFonts w:hint="eastAsia" w:ascii="Times New Roman" w:hAnsi="Times New Roman" w:cs="Times New Roman"/>
          <w:color w:val="auto"/>
        </w:rPr>
      </w:pPr>
      <w:r>
        <w:rPr>
          <w:rFonts w:hint="eastAsia" w:ascii="Times New Roman" w:hAnsi="Times New Roman" w:cs="Times New Roman"/>
          <w:color w:val="auto"/>
        </w:rPr>
        <w:t>Tufekci, Z. (2013). “Not this one” social movements, the attention economy, and microcelebrity networked activism. American behavioral scientist, 57(7), 848-870.</w:t>
      </w:r>
    </w:p>
    <w:p w14:paraId="26414F0C">
      <w:pPr>
        <w:keepNext w:val="0"/>
        <w:keepLines w:val="0"/>
        <w:pageBreakBefore w:val="0"/>
        <w:widowControl w:val="0"/>
        <w:kinsoku/>
        <w:wordWrap/>
        <w:overflowPunct/>
        <w:topLinePunct w:val="0"/>
        <w:autoSpaceDE/>
        <w:autoSpaceDN/>
        <w:bidi w:val="0"/>
        <w:adjustRightInd/>
        <w:snapToGrid/>
        <w:spacing w:line="480" w:lineRule="auto"/>
        <w:ind w:left="480" w:leftChars="0" w:hanging="480" w:hangingChars="200"/>
        <w:textAlignment w:val="auto"/>
        <w:rPr>
          <w:rFonts w:hint="eastAsia" w:ascii="Times New Roman" w:hAnsi="Times New Roman" w:cs="Times New Roman"/>
          <w:color w:val="auto"/>
        </w:rPr>
      </w:pPr>
      <w:r>
        <w:rPr>
          <w:rFonts w:hint="eastAsia" w:ascii="Times New Roman" w:hAnsi="Times New Roman" w:cs="Times New Roman"/>
          <w:color w:val="auto"/>
        </w:rPr>
        <w:t>Verhallen, T. M. (1982). Scarcity and consumer choice behavior. Journal of Economic Psychology, 2(4), 299-322.</w:t>
      </w:r>
    </w:p>
    <w:p w14:paraId="221AFF42">
      <w:pPr>
        <w:keepNext w:val="0"/>
        <w:keepLines w:val="0"/>
        <w:pageBreakBefore w:val="0"/>
        <w:widowControl w:val="0"/>
        <w:kinsoku/>
        <w:wordWrap/>
        <w:overflowPunct/>
        <w:topLinePunct w:val="0"/>
        <w:autoSpaceDE/>
        <w:autoSpaceDN/>
        <w:bidi w:val="0"/>
        <w:adjustRightInd/>
        <w:snapToGrid/>
        <w:spacing w:line="480" w:lineRule="auto"/>
        <w:ind w:left="480" w:leftChars="0" w:hanging="480" w:hangingChars="200"/>
        <w:textAlignment w:val="auto"/>
        <w:rPr>
          <w:rFonts w:hint="eastAsia" w:ascii="Times New Roman" w:hAnsi="Times New Roman" w:cs="Times New Roman"/>
          <w:color w:val="auto"/>
        </w:rPr>
      </w:pPr>
      <w:r>
        <w:rPr>
          <w:rFonts w:hint="eastAsia" w:ascii="Times New Roman" w:hAnsi="Times New Roman" w:cs="Times New Roman"/>
          <w:color w:val="auto"/>
        </w:rPr>
        <w:t>Zhang, Z. (2021, July). Research on blind box and its marketing strategy. In 2021 International conference on economic development and business culture (ICEDBC 2021) (pp. 115-118). Atlantis Press.</w:t>
      </w:r>
    </w:p>
    <w:p w14:paraId="00FE74F2">
      <w:pPr>
        <w:spacing w:line="480" w:lineRule="auto"/>
        <w:ind w:left="0" w:leftChars="0" w:firstLine="0" w:firstLineChars="0"/>
        <w:rPr>
          <w:rFonts w:hint="eastAsia" w:ascii="Times New Roman" w:hAnsi="Times New Roman" w:cs="Times New Roman"/>
          <w:color w:val="808080" w:themeColor="background1" w:themeShade="80"/>
        </w:rPr>
      </w:pPr>
    </w:p>
    <w:sectPr>
      <w:footerReference r:id="rId3" w:type="default"/>
      <w:footerReference r:id="rId4" w:type="even"/>
      <w:pgSz w:w="11900" w:h="16840"/>
      <w:pgMar w:top="1440" w:right="1800" w:bottom="1440" w:left="1800" w:header="851" w:footer="992" w:gutter="0"/>
      <w:cols w:space="425"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DengXian">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DengXian Light">
    <w:altName w:val="汉仪中等线KW"/>
    <w:panose1 w:val="00000000000000000000"/>
    <w:charset w:val="00"/>
    <w:family w:val="auto"/>
    <w:pitch w:val="default"/>
    <w:sig w:usb0="00000000" w:usb1="00000000" w:usb2="00000000" w:usb3="00000000" w:csb0="00000000" w:csb1="00000000"/>
  </w:font>
  <w:font w:name="Times New Roman Bold">
    <w:panose1 w:val="02020603050405020304"/>
    <w:charset w:val="00"/>
    <w:family w:val="auto"/>
    <w:pitch w:val="default"/>
    <w:sig w:usb0="E0002AEF" w:usb1="C0007841" w:usb2="00000009" w:usb3="00000000" w:csb0="400001FF" w:csb1="FFFF0000"/>
  </w:font>
  <w:font w:name="DengXian">
    <w:altName w:val="汉仪中等线KW"/>
    <w:panose1 w:val="00000000000000000000"/>
    <w:charset w:val="00"/>
    <w:family w:val="auto"/>
    <w:pitch w:val="default"/>
    <w:sig w:usb0="00000000" w:usb1="00000000" w:usb2="0000000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7"/>
      </w:rPr>
      <w:id w:val="132993584"/>
      <w:docPartObj>
        <w:docPartGallery w:val="autotext"/>
      </w:docPartObj>
    </w:sdtPr>
    <w:sdtEndPr>
      <w:rPr>
        <w:rStyle w:val="17"/>
      </w:rPr>
    </w:sdtEndPr>
    <w:sdtContent>
      <w:p w14:paraId="617A23C5">
        <w:pPr>
          <w:pStyle w:val="11"/>
          <w:framePr w:wrap="auto" w:vAnchor="text" w:hAnchor="margin" w:xAlign="center" w:y="1"/>
          <w:rPr>
            <w:rStyle w:val="17"/>
          </w:rPr>
        </w:pPr>
        <w:r>
          <w:rPr>
            <w:rStyle w:val="17"/>
          </w:rPr>
          <w:fldChar w:fldCharType="begin"/>
        </w:r>
        <w:r>
          <w:rPr>
            <w:rStyle w:val="17"/>
          </w:rPr>
          <w:instrText xml:space="preserve"> PAGE </w:instrText>
        </w:r>
        <w:r>
          <w:rPr>
            <w:rStyle w:val="17"/>
          </w:rPr>
          <w:fldChar w:fldCharType="separate"/>
        </w:r>
        <w:r>
          <w:rPr>
            <w:rStyle w:val="17"/>
          </w:rPr>
          <w:t>1</w:t>
        </w:r>
        <w:r>
          <w:rPr>
            <w:rStyle w:val="17"/>
          </w:rPr>
          <w:fldChar w:fldCharType="end"/>
        </w:r>
      </w:p>
    </w:sdtContent>
  </w:sdt>
  <w:p w14:paraId="6636DAF0">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7"/>
      </w:rPr>
      <w:id w:val="-1"/>
      <w:docPartObj>
        <w:docPartGallery w:val="autotext"/>
      </w:docPartObj>
    </w:sdtPr>
    <w:sdtEndPr>
      <w:rPr>
        <w:rStyle w:val="17"/>
      </w:rPr>
    </w:sdtEndPr>
    <w:sdtContent>
      <w:p w14:paraId="6E5D8ECF">
        <w:pPr>
          <w:pStyle w:val="11"/>
          <w:framePr w:wrap="auto" w:vAnchor="text" w:hAnchor="margin" w:xAlign="center" w:y="1"/>
          <w:rPr>
            <w:rStyle w:val="17"/>
          </w:rPr>
        </w:pPr>
        <w:r>
          <w:rPr>
            <w:rStyle w:val="17"/>
          </w:rPr>
          <w:fldChar w:fldCharType="begin"/>
        </w:r>
        <w:r>
          <w:rPr>
            <w:rStyle w:val="17"/>
          </w:rPr>
          <w:instrText xml:space="preserve"> PAGE </w:instrText>
        </w:r>
        <w:r>
          <w:rPr>
            <w:rStyle w:val="17"/>
          </w:rPr>
          <w:fldChar w:fldCharType="separate"/>
        </w:r>
        <w:r>
          <w:rPr>
            <w:rStyle w:val="17"/>
          </w:rPr>
          <w:fldChar w:fldCharType="end"/>
        </w:r>
      </w:p>
    </w:sdtContent>
  </w:sdt>
  <w:p w14:paraId="09A3DCE2">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E7B297"/>
    <w:multiLevelType w:val="singleLevel"/>
    <w:tmpl w:val="CDE7B297"/>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1"/>
  <w:doNotDisplayPageBoundaries w:val="1"/>
  <w:bordersDoNotSurroundHeader w:val="0"/>
  <w:bordersDoNotSurroundFooter w:val="0"/>
  <w:documentProtection w:enforcement="0"/>
  <w:defaultTabStop w:val="420"/>
  <w:drawingGridVerticalSpacing w:val="20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59C"/>
    <w:rsid w:val="0010459C"/>
    <w:rsid w:val="002C6D1A"/>
    <w:rsid w:val="00724A69"/>
    <w:rsid w:val="00CB28D0"/>
    <w:rsid w:val="00E66E66"/>
    <w:rsid w:val="4BFE6B48"/>
    <w:rsid w:val="5ABB3420"/>
    <w:rsid w:val="737D2B0D"/>
    <w:rsid w:val="73F7F73F"/>
    <w:rsid w:val="7CDBF24A"/>
    <w:rsid w:val="7CFFC4C9"/>
    <w:rsid w:val="7EBAD9BE"/>
    <w:rsid w:val="7EFDE13F"/>
    <w:rsid w:val="7F7E64CE"/>
    <w:rsid w:val="7FB6B290"/>
    <w:rsid w:val="7FD2A16B"/>
    <w:rsid w:val="7FF25DD7"/>
    <w:rsid w:val="8BD316B4"/>
    <w:rsid w:val="8F5BEDD6"/>
    <w:rsid w:val="BBD5AA12"/>
    <w:rsid w:val="BF5DCCBD"/>
    <w:rsid w:val="BFFE7771"/>
    <w:rsid w:val="DB3C7BDF"/>
    <w:rsid w:val="DFFD8FCF"/>
    <w:rsid w:val="EB4B241C"/>
    <w:rsid w:val="EEFFC71E"/>
    <w:rsid w:val="F5973353"/>
    <w:rsid w:val="F5FF415F"/>
    <w:rsid w:val="F7EF615E"/>
    <w:rsid w:val="F97E54B7"/>
    <w:rsid w:val="FBDEFD48"/>
    <w:rsid w:val="FBFF2C3B"/>
    <w:rsid w:val="FDFF02D0"/>
    <w:rsid w:val="FEDE5692"/>
    <w:rsid w:val="FEE6088F"/>
    <w:rsid w:val="FFFA5F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14:defaultImageDpi w14:val="32767"/>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2F5597" w:themeColor="accent1" w:themeShade="BF"/>
    </w:rPr>
  </w:style>
  <w:style w:type="paragraph" w:styleId="7">
    <w:name w:val="heading 6"/>
    <w:basedOn w:val="1"/>
    <w:next w:val="1"/>
    <w:link w:val="23"/>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6"/>
    <w:unhideWhenUsed/>
    <w:uiPriority w:val="99"/>
    <w:pPr>
      <w:tabs>
        <w:tab w:val="center" w:pos="4153"/>
        <w:tab w:val="right" w:pos="8306"/>
      </w:tabs>
      <w:snapToGrid w:val="0"/>
      <w:jc w:val="left"/>
    </w:pPr>
    <w:rPr>
      <w:sz w:val="18"/>
      <w:szCs w:val="18"/>
    </w:rPr>
  </w:style>
  <w:style w:type="paragraph" w:styleId="12">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3">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7">
    <w:name w:val="page number"/>
    <w:basedOn w:val="16"/>
    <w:semiHidden/>
    <w:unhideWhenUsed/>
    <w:uiPriority w:val="99"/>
  </w:style>
  <w:style w:type="character" w:customStyle="1" w:styleId="18">
    <w:name w:val="标题 1 字符"/>
    <w:basedOn w:val="16"/>
    <w:link w:val="2"/>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6"/>
    <w:link w:val="3"/>
    <w:semiHidden/>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6"/>
    <w:link w:val="4"/>
    <w:semiHidden/>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6"/>
    <w:link w:val="5"/>
    <w:semiHidden/>
    <w:uiPriority w:val="9"/>
    <w:rPr>
      <w:rFonts w:cstheme="majorBidi"/>
      <w:color w:val="2F5597" w:themeColor="accent1" w:themeShade="BF"/>
      <w:sz w:val="28"/>
      <w:szCs w:val="28"/>
    </w:rPr>
  </w:style>
  <w:style w:type="character" w:customStyle="1" w:styleId="22">
    <w:name w:val="标题 5 字符"/>
    <w:basedOn w:val="16"/>
    <w:link w:val="6"/>
    <w:semiHidden/>
    <w:uiPriority w:val="9"/>
    <w:rPr>
      <w:rFonts w:cstheme="majorBidi"/>
      <w:color w:val="2F5597" w:themeColor="accent1" w:themeShade="BF"/>
    </w:rPr>
  </w:style>
  <w:style w:type="character" w:customStyle="1" w:styleId="23">
    <w:name w:val="标题 6 字符"/>
    <w:basedOn w:val="16"/>
    <w:link w:val="7"/>
    <w:semiHidden/>
    <w:uiPriority w:val="9"/>
    <w:rPr>
      <w:rFonts w:cstheme="majorBidi"/>
      <w:b/>
      <w:bCs/>
      <w:color w:val="2F5597" w:themeColor="accent1" w:themeShade="BF"/>
    </w:rPr>
  </w:style>
  <w:style w:type="character" w:customStyle="1" w:styleId="24">
    <w:name w:val="标题 7 字符"/>
    <w:basedOn w:val="16"/>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6"/>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6"/>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6"/>
    <w:link w:val="14"/>
    <w:uiPriority w:val="10"/>
    <w:rPr>
      <w:rFonts w:asciiTheme="majorHAnsi" w:hAnsiTheme="majorHAnsi" w:eastAsiaTheme="majorEastAsia" w:cstheme="majorBidi"/>
      <w:spacing w:val="-10"/>
      <w:kern w:val="28"/>
      <w:sz w:val="56"/>
      <w:szCs w:val="56"/>
    </w:rPr>
  </w:style>
  <w:style w:type="character" w:customStyle="1" w:styleId="28">
    <w:name w:val="副标题 字符"/>
    <w:basedOn w:val="16"/>
    <w:link w:val="12"/>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6"/>
    <w:link w:val="29"/>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6"/>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明显引用 字符"/>
    <w:basedOn w:val="16"/>
    <w:link w:val="33"/>
    <w:uiPriority w:val="30"/>
    <w:rPr>
      <w:i/>
      <w:iCs/>
      <w:color w:val="2F5597" w:themeColor="accent1" w:themeShade="BF"/>
    </w:rPr>
  </w:style>
  <w:style w:type="character" w:customStyle="1" w:styleId="35">
    <w:name w:val="Intense Reference"/>
    <w:basedOn w:val="16"/>
    <w:qFormat/>
    <w:uiPriority w:val="32"/>
    <w:rPr>
      <w:b/>
      <w:bCs/>
      <w:smallCaps/>
      <w:color w:val="2F5597" w:themeColor="accent1" w:themeShade="BF"/>
      <w:spacing w:val="5"/>
    </w:rPr>
  </w:style>
  <w:style w:type="character" w:customStyle="1" w:styleId="36">
    <w:name w:val="页脚 字符"/>
    <w:basedOn w:val="16"/>
    <w:link w:val="11"/>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xsi="http://www.w3.org/2001/XMLSchema-instance" xmlns:p="http://schemas.microsoft.com/office/2006/metadata/properties" xmlns:pc="http://schemas.microsoft.com/office/infopath/2007/PartnerControls">
  <documentManagement>
    <TaxCatchAll xmlns="1c19555d-9344-4ae5-b2db-64a58f9e749e" xsi:nil="true"/>
    <ReferenceId xmlns="d6ea7266-2a9c-4757-a13d-c1f15e2f369e" xsi:nil="true"/>
    <lcf76f155ced4ddcb4097134ff3c332f xmlns="d6ea7266-2a9c-4757-a13d-c1f15e2f369e">
      <Terms xmlns="http://schemas.microsoft.com/office/infopath/2007/PartnerControls"/>
    </lcf76f155ced4ddcb4097134ff3c332f>
  </documentManagement>
</p:properties>
</file>

<file path=customXml/item3.xml><?xml version="1.0" encoding="utf-8"?>
<b:Sources xmlns="http://schemas.openxmlformats.org/officeDocument/2006/bibliography" xmlns:b="http://schemas.openxmlformats.org/officeDocument/2006/bibliography" SelectedStyle="/APASixthEditionOfficeOnline.xsl" Version="6" StyleName="APA"/>
</file>

<file path=customXml/item4.xml><?xml version="1.0" encoding="utf-8"?>
<ct:contentTypeSchema xmlns:ct="http://schemas.microsoft.com/office/2006/metadata/contentType" xmlns:ma="http://schemas.microsoft.com/office/2006/metadata/properties/metaAttributes" ma:contentTypeName="文档" ma:versionID="30b72aed66ec7b09b0475fa2454135c4" ct:_="" ma:_="" ma:contentTypeDescription="新建文档。" ma:contentTypeScope="" ma:contentTypeVersion="12" ma:contentTypeID="0x010100CD198659FD3C6742B44B69287C086F0F">
  <xsd:schema xmlns:ns3="1c19555d-9344-4ae5-b2db-64a58f9e749e" xmlns:xsd="http://www.w3.org/2001/XMLSchema" xmlns:xs="http://www.w3.org/2001/XMLSchema" xmlns:p="http://schemas.microsoft.com/office/2006/metadata/properties" xmlns:ns2="d6ea7266-2a9c-4757-a13d-c1f15e2f369e" ns3:_="" ns2:_="" ma:root="true" targetNamespace="http://schemas.microsoft.com/office/2006/metadata/properties" ma:fieldsID="9841cca77ad583ea23b6f126eceab13a">
    <xsd:import namespace="d6ea7266-2a9c-4757-a13d-c1f15e2f369e"/>
    <xsd:import namespace="1c19555d-9344-4ae5-b2db-64a58f9e749e"/>
    <xsd:element name="properties">
      <xsd:complexType>
        <xsd:sequence>
          <xsd:element name="documentManagement">
            <xsd:complexType>
              <xsd:all>
                <xsd:element minOccurs="0" ref="ns2:ReferenceId"/>
                <xsd:element minOccurs="0" ref="ns2:MediaServiceMetadata"/>
                <xsd:element minOccurs="0" ref="ns2:MediaServiceFastMetadata"/>
                <xsd:element minOccurs="0" ref="ns2:MediaServiceSearchProperties"/>
                <xsd:element minOccurs="0" ref="ns2:MediaServiceDateTaken"/>
                <xsd:element minOccurs="0" ref="ns2:lcf76f155ced4ddcb4097134ff3c332f"/>
                <xsd:element minOccurs="0" ref="ns3:TaxCatchAll"/>
                <xsd:element minOccurs="0" ref="ns2:MediaServiceOCR"/>
                <xsd:element minOccurs="0" ref="ns2:MediaServiceGenerationTime"/>
                <xsd:element minOccurs="0" ref="ns2:MediaServiceEventHashCode"/>
                <xsd:element minOccurs="0" ref="ns2:MediaLengthInSecond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elementFormDefault="qualified" targetNamespace="d6ea7266-2a9c-4757-a13d-c1f15e2f369e">
    <xsd:import namespace="http://schemas.microsoft.com/office/2006/documentManagement/types"/>
    <xsd:import namespace="http://schemas.microsoft.com/office/infopath/2007/PartnerControls"/>
    <xsd:element name="ReferenceId" nillable="true" ma:internalName="ReferenceId" ma:displayName="ReferenceId" ma:index="8" ma:indexed="true">
      <xsd:simpleType>
        <xsd:restriction base="dms:Text"/>
      </xsd:simpleType>
    </xsd:element>
    <xsd:element name="MediaServiceMetadata" nillable="true" ma:internalName="MediaServiceMetadata" ma:displayName="MediaServiceMetadata" ma:index="9" ma:readOnly="true" ma:hidden="true">
      <xsd:simpleType>
        <xsd:restriction base="dms:Note"/>
      </xsd:simpleType>
    </xsd:element>
    <xsd:element name="MediaServiceFastMetadata" nillable="true" ma:internalName="MediaServiceFastMetadata" ma:displayName="MediaServiceFastMetadata" ma:index="10" ma:readOnly="true" ma:hidden="true">
      <xsd:simpleType>
        <xsd:restriction base="dms:Note"/>
      </xsd:simpleType>
    </xsd:element>
    <xsd:element name="MediaServiceSearchProperties" nillable="true" ma:internalName="MediaServiceSearchProperties" ma:displayName="MediaServiceSearchProperties" ma:index="11" ma:readOnly="true" ma:hidden="true">
      <xsd:simpleType>
        <xsd:restriction base="dms:Note"/>
      </xsd:simpleType>
    </xsd:element>
    <xsd:element name="MediaServiceDateTaken" nillable="true" ma:internalName="MediaServiceDateTaken" ma:displayName="MediaServiceDateTaken" ma:index="12" ma:readOnly="true" ma:hidden="true" ma:indexed="true">
      <xsd:simpleType>
        <xsd:restriction base="dms:Text"/>
      </xsd:simpleType>
    </xsd:element>
    <xsd:element name="lcf76f155ced4ddcb4097134ff3c332f" ma:taxonomy="true" ma:isKeyword="false" ma:taxonomyFieldName="MediaServiceImageTags" ma:termSetId="09814cd3-568e-fe90-9814-8d621ff8fb84" nillable="true" ma:open="true" ma:internalName="lcf76f155ced4ddcb4097134ff3c332f" ma:sspId="7d3ec979-8b38-4407-a5ae-45dcdb642f2f" ma:displayName="图像标记" ma:fieldId="{5cf76f15-5ced-4ddc-b409-7134ff3c332f}" ma:anchorId="fba54fb3-c3e1-fe81-a776-ca4b69148c4d" ma:index="14" ma:readOnly="false" ma:taxonomyMulti="true">
      <xsd:complexType>
        <xsd:sequence>
          <xsd:element maxOccurs="1" minOccurs="0" ref="pc:Terms"/>
        </xsd:sequence>
      </xsd:complexType>
    </xsd:element>
    <xsd:element name="MediaServiceOCR" nillable="true" ma:internalName="MediaServiceOCR" ma:displayName="Extracted Text" ma:index="16" ma:readOnly="true">
      <xsd:simpleType>
        <xsd:restriction base="dms:Note">
          <xsd:maxLength value="255"/>
        </xsd:restriction>
      </xsd:simpleType>
    </xsd:element>
    <xsd:element name="MediaServiceGenerationTime" nillable="true" ma:internalName="MediaServiceGenerationTime" ma:displayName="MediaServiceGenerationTime" ma:index="17" ma:readOnly="true" ma:hidden="true">
      <xsd:simpleType>
        <xsd:restriction base="dms:Text"/>
      </xsd:simpleType>
    </xsd:element>
    <xsd:element name="MediaServiceEventHashCode" nillable="true" ma:internalName="MediaServiceEventHashCode" ma:displayName="MediaServiceEventHashCode" ma:index="18" ma:readOnly="true" ma:hidden="true">
      <xsd:simpleType>
        <xsd:restriction base="dms:Text"/>
      </xsd:simpleType>
    </xsd:element>
    <xsd:element name="MediaLengthInSeconds" nillable="true" ma:internalName="MediaLengthInSeconds" ma:displayName="MediaLengthInSeconds" ma:index="19" ma:readOnly="true" ma:hidden="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elementFormDefault="qualified" targetNamespace="1c19555d-9344-4ae5-b2db-64a58f9e749e">
    <xsd:import namespace="http://schemas.microsoft.com/office/2006/documentManagement/types"/>
    <xsd:import namespace="http://schemas.microsoft.com/office/infopath/2007/PartnerControls"/>
    <xsd:element name="TaxCatchAll" ma:showField="CatchAllData" ma:list="{4d421991-ee6b-45f5-9888-0313fcc1047f}" nillable="true" ma:internalName="TaxCatchAll" ma:web="1c19555d-9344-4ae5-b2db-64a58f9e749e" ma:displayName="Taxonomy Catch All Column" ma:index="15" ma:hidden="true">
      <xsd:complexType>
        <xsd:complexContent>
          <xsd:extension base="dms:MultiChoiceLookup">
            <xsd:sequence>
              <xsd:element name="Value" maxOccurs="unbounded" minOccurs="0" nillable="true" type="dms:Lookup"/>
            </xsd:sequence>
          </xsd:extension>
        </xsd:complexContent>
      </xsd:complexType>
    </xsd:element>
  </xsd:schema>
  <xsd:schema xmlns:odoc="http://schemas.microsoft.com/internal/obd" xmlns:xsd="http://www.w3.org/2001/XMLSchema" xmlns:xsi="http://www.w3.org/2001/XMLSchema-instance" xmlns:dcterms="http://purl.org/dc/terms/" xmlns="http://schemas.openxmlformats.org/package/2006/metadata/core-properties" xmlns:dc="http://purl.org/dc/elements/1.1/" elementFormDefault="qualified" attributeFormDefault="unqualified" blockDefault="#all"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name="contentType" maxOccurs="1" minOccurs="0" type="xsd:string" ma:displayName="内容类型" ma:index="0"/>
        <xsd:element maxOccurs="1" minOccurs="0" ref="dc:title" ma:displayName="标题" ma:index="4"/>
        <xsd:element maxOccurs="1" minOccurs="0" ref="dc:subject"/>
        <xsd:element maxOccurs="1" minOccurs="0" ref="dc:description"/>
        <xsd:element name="keywords" maxOccurs="1" minOccurs="0" type="xsd:string"/>
        <xsd:element maxOccurs="1" minOccurs="0" ref="dc:language"/>
        <xsd:element name="category" maxOccurs="1" minOccurs="0" type="xsd:string"/>
        <xsd:element name="version" maxOccurs="1" minOccurs="0" type="xsd:string"/>
        <xsd:element name="revision" maxOccurs="1" minOccurs="0" type="xsd:string">
          <xsd:annotation>
            <xsd:documentation>
                        This value indicates the number of saves or revisions. The application is responsible for updating this value after each revision.
                    </xsd:documentation>
          </xsd:annotation>
        </xsd:element>
        <xsd:element name="lastModifiedBy" maxOccurs="1" minOccurs="0" type="xsd:string"/>
        <xsd:element maxOccurs="1" minOccurs="0" ref="dcterms:modified"/>
        <xsd:element name="contentStatus" maxOccurs="1" minOccurs="0" type="xsd:string"/>
      </xsd:all>
    </xsd:complexType>
  </xsd:schema>
  <xs:schema xmlns:xs="http://www.w3.org/2001/XMLSchema" xmlns:pc="http://schemas.microsoft.com/office/infopath/2007/PartnerControls" elementFormDefault="qualified" attributeFormDefault="un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57A4D4-6339-4135-95E1-BCB87C8C3F01}">
  <ds:schemaRefs/>
</ds:datastoreItem>
</file>

<file path=customXml/itemProps2.xml><?xml version="1.0" encoding="utf-8"?>
<ds:datastoreItem xmlns:ds="http://schemas.openxmlformats.org/officeDocument/2006/customXml" ds:itemID="{37B1313F-CA74-466A-9270-9B6031F3FCA4}">
  <ds:schemaRefs/>
</ds:datastoreItem>
</file>

<file path=customXml/itemProps3.xml><?xml version="1.0" encoding="utf-8"?>
<ds:datastoreItem xmlns:ds="http://schemas.openxmlformats.org/officeDocument/2006/customXml" ds:itemID="{8355C933-303C-2248-9459-63F9A9C1EEE7}">
  <ds:schemaRefs/>
</ds:datastoreItem>
</file>

<file path=customXml/itemProps4.xml><?xml version="1.0" encoding="utf-8"?>
<ds:datastoreItem xmlns:ds="http://schemas.openxmlformats.org/officeDocument/2006/customXml" ds:itemID="{3D56CD39-5627-4FE2-B5B4-A736D1B827B7}">
  <ds:schemaRefs/>
</ds:datastoreItem>
</file>

<file path=docProps/app.xml><?xml version="1.0" encoding="utf-8"?>
<Properties xmlns="http://schemas.openxmlformats.org/officeDocument/2006/extended-properties" xmlns:vt="http://schemas.openxmlformats.org/officeDocument/2006/docPropsVTypes">
  <Template>Normal.dotm</Template>
  <Pages>41</Pages>
  <Words>89</Words>
  <Characters>509</Characters>
  <Lines>4</Lines>
  <Paragraphs>1</Paragraphs>
  <TotalTime>393</TotalTime>
  <ScaleCrop>false</ScaleCrop>
  <LinksUpToDate>false</LinksUpToDate>
  <CharactersWithSpaces>597</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2025-12-05T09:12:00Z</dcterms:created>
  <dc:creator>范 珈彤</dc:creator>
  <cp:lastModifiedBy>阿芫</cp:lastModifiedBy>
  <dcterms:modified xsi:type="dcterms:W3CDTF">2026-06-02T15:08:30Z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0x010100CD198659FD3C6742B44B69287C086F0F</vt:lpwstr>
  </property>
  <property fmtid="{D5CDD505-2E9C-101B-9397-08002B2CF9AE}" pid="3" name="Order">
    <vt:r8>9800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KSOProductBuildVer">
    <vt:lpwstr>2052-12.1.25895.25895</vt:lpwstr>
  </property>
  <property fmtid="{D5CDD505-2E9C-101B-9397-08002B2CF9AE}" pid="13" name="ICV">
    <vt:lpwstr>8ECB62D586C9C7F26E811E6AE9456737_43</vt:lpwstr>
  </property>
</Properties>
</file>